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40" w:rsidRPr="006634BB" w:rsidRDefault="003D1540" w:rsidP="003D1540">
      <w:pPr>
        <w:jc w:val="both"/>
        <w:rPr>
          <w:rFonts w:ascii="Arial" w:hAnsi="Arial" w:cs="Arial"/>
          <w:lang w:val="sr-Cyrl-CS"/>
        </w:rPr>
      </w:pPr>
      <w:bookmarkStart w:id="0" w:name="_GoBack"/>
      <w:bookmarkEnd w:id="0"/>
      <w:r w:rsidRPr="006634BB">
        <w:rPr>
          <w:rFonts w:ascii="Arial" w:hAnsi="Arial" w:cs="Arial"/>
          <w:lang w:val="sr-Cyrl-CS"/>
        </w:rPr>
        <w:t>На основу Решења стечајног судије Привредног суда у Зајечару, Ст.бр.</w:t>
      </w:r>
      <w:r w:rsidR="009767CD">
        <w:rPr>
          <w:rFonts w:ascii="Arial" w:hAnsi="Arial" w:cs="Arial"/>
          <w:lang w:val="sr-Latn-RS"/>
        </w:rPr>
        <w:t>1</w:t>
      </w:r>
      <w:r w:rsidRPr="006634BB">
        <w:rPr>
          <w:rFonts w:ascii="Arial" w:hAnsi="Arial" w:cs="Arial"/>
          <w:lang w:val="sr-Cyrl-CS"/>
        </w:rPr>
        <w:t>/201</w:t>
      </w:r>
      <w:r w:rsidR="009767CD">
        <w:rPr>
          <w:rFonts w:ascii="Arial" w:hAnsi="Arial" w:cs="Arial"/>
          <w:lang w:val="sr-Latn-RS"/>
        </w:rPr>
        <w:t>3</w:t>
      </w:r>
      <w:r w:rsidRPr="006634BB">
        <w:rPr>
          <w:rFonts w:ascii="Arial" w:hAnsi="Arial" w:cs="Arial"/>
          <w:lang w:val="sr-Cyrl-CS"/>
        </w:rPr>
        <w:t xml:space="preserve"> од  </w:t>
      </w:r>
      <w:r w:rsidR="009767CD">
        <w:rPr>
          <w:rFonts w:ascii="Arial" w:hAnsi="Arial" w:cs="Arial"/>
          <w:lang w:val="sr-Latn-RS"/>
        </w:rPr>
        <w:t>02</w:t>
      </w:r>
      <w:r w:rsidRPr="006634BB">
        <w:rPr>
          <w:rFonts w:ascii="Arial" w:hAnsi="Arial" w:cs="Arial"/>
          <w:lang w:val="sr-Cyrl-CS"/>
        </w:rPr>
        <w:t>.</w:t>
      </w:r>
      <w:r w:rsidR="009767CD">
        <w:rPr>
          <w:rFonts w:ascii="Arial" w:hAnsi="Arial" w:cs="Arial"/>
          <w:lang w:val="sr-Latn-RS"/>
        </w:rPr>
        <w:t>04</w:t>
      </w:r>
      <w:r w:rsidRPr="006634BB">
        <w:rPr>
          <w:rFonts w:ascii="Arial" w:hAnsi="Arial" w:cs="Arial"/>
          <w:lang w:val="sr-Cyrl-CS"/>
        </w:rPr>
        <w:t>.201</w:t>
      </w:r>
      <w:r w:rsidR="009767CD">
        <w:rPr>
          <w:rFonts w:ascii="Arial" w:hAnsi="Arial" w:cs="Arial"/>
          <w:lang w:val="sr-Latn-RS"/>
        </w:rPr>
        <w:t>3</w:t>
      </w:r>
      <w:r w:rsidRPr="006634BB">
        <w:rPr>
          <w:rFonts w:ascii="Arial" w:hAnsi="Arial" w:cs="Arial"/>
          <w:lang w:val="sr-Cyrl-CS"/>
        </w:rPr>
        <w:t>.године, а у складу са члан</w:t>
      </w:r>
      <w:r w:rsidRPr="006634BB">
        <w:rPr>
          <w:rFonts w:ascii="Arial" w:hAnsi="Arial" w:cs="Arial"/>
        </w:rPr>
        <w:t>o</w:t>
      </w:r>
      <w:r w:rsidRPr="006634BB">
        <w:rPr>
          <w:rFonts w:ascii="Arial" w:hAnsi="Arial" w:cs="Arial"/>
          <w:lang w:val="sr-Cyrl-CS"/>
        </w:rPr>
        <w:t xml:space="preserve">вима 131., </w:t>
      </w:r>
      <w:r w:rsidRPr="006634BB">
        <w:rPr>
          <w:rFonts w:ascii="Arial" w:hAnsi="Arial" w:cs="Arial"/>
          <w:lang w:val="ru-RU"/>
        </w:rPr>
        <w:t xml:space="preserve">132. и </w:t>
      </w:r>
      <w:r w:rsidRPr="006634BB">
        <w:rPr>
          <w:rFonts w:ascii="Arial" w:hAnsi="Arial" w:cs="Arial"/>
          <w:lang w:val="sr-Cyrl-CS"/>
        </w:rPr>
        <w:t>133. Закона о стечају («</w:t>
      </w:r>
      <w:r w:rsidRPr="006634BB">
        <w:rPr>
          <w:rFonts w:ascii="Arial" w:hAnsi="Arial" w:cs="Arial"/>
          <w:i/>
          <w:lang w:val="sr-Cyrl-CS"/>
        </w:rPr>
        <w:t>Службени гласник  Републике Србије» број 104/2009</w:t>
      </w:r>
      <w:r w:rsidRPr="006634BB">
        <w:rPr>
          <w:rFonts w:ascii="Arial" w:hAnsi="Arial" w:cs="Arial"/>
          <w:lang w:val="sr-Cyrl-CS"/>
        </w:rPr>
        <w:t>) и Националним стандардом број 5 – Национални стандард о начину и поступку уновчења имовине стечајног</w:t>
      </w:r>
      <w:r w:rsidR="00F436E1">
        <w:rPr>
          <w:rFonts w:ascii="Arial" w:hAnsi="Arial" w:cs="Arial"/>
          <w:lang w:val="sr-Cyrl-CS"/>
        </w:rPr>
        <w:t xml:space="preserve"> дужника</w:t>
      </w:r>
      <w:r w:rsidRPr="006634BB">
        <w:rPr>
          <w:rFonts w:ascii="Arial" w:hAnsi="Arial" w:cs="Arial"/>
          <w:lang w:val="sr-Cyrl-CS"/>
        </w:rPr>
        <w:t xml:space="preserve"> («</w:t>
      </w:r>
      <w:r w:rsidRPr="006634BB">
        <w:rPr>
          <w:rFonts w:ascii="Arial" w:hAnsi="Arial" w:cs="Arial"/>
          <w:i/>
          <w:lang w:val="sr-Cyrl-CS"/>
        </w:rPr>
        <w:t>Службени гласник Републике Србије» број 13/2010</w:t>
      </w:r>
      <w:r w:rsidRPr="006634BB">
        <w:rPr>
          <w:rFonts w:ascii="Arial" w:hAnsi="Arial" w:cs="Arial"/>
          <w:lang w:val="sr-Cyrl-CS"/>
        </w:rPr>
        <w:t>), стечајни управник стечајног дужника</w:t>
      </w:r>
    </w:p>
    <w:p w:rsidR="003D1540" w:rsidRPr="006634BB" w:rsidRDefault="003D1540" w:rsidP="003D1540">
      <w:pPr>
        <w:jc w:val="both"/>
        <w:rPr>
          <w:rFonts w:ascii="Arial" w:hAnsi="Arial" w:cs="Arial"/>
          <w:b/>
          <w:lang w:val="sr-Cyrl-CS"/>
        </w:rPr>
      </w:pPr>
    </w:p>
    <w:p w:rsidR="003D1540" w:rsidRPr="006634BB" w:rsidRDefault="009767CD" w:rsidP="003D1540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RS"/>
        </w:rPr>
        <w:t>ПД ПОЛЕТ ПЛУС ДОО</w:t>
      </w:r>
      <w:r w:rsidR="003D1540" w:rsidRPr="006634BB">
        <w:rPr>
          <w:rFonts w:ascii="Arial" w:hAnsi="Arial" w:cs="Arial"/>
          <w:b/>
          <w:lang w:val="sr-Latn-CS"/>
        </w:rPr>
        <w:t xml:space="preserve"> </w:t>
      </w:r>
      <w:r w:rsidR="005C4550">
        <w:rPr>
          <w:rFonts w:ascii="Arial" w:hAnsi="Arial" w:cs="Arial"/>
          <w:b/>
          <w:lang w:val="sr-Cyrl-CS"/>
        </w:rPr>
        <w:t>Бор</w:t>
      </w:r>
      <w:r w:rsidR="005C4550" w:rsidRPr="006634BB">
        <w:rPr>
          <w:rFonts w:ascii="Arial" w:hAnsi="Arial" w:cs="Arial"/>
          <w:b/>
          <w:lang w:val="sr-Cyrl-CS"/>
        </w:rPr>
        <w:t xml:space="preserve"> </w:t>
      </w:r>
      <w:r w:rsidR="003D1540" w:rsidRPr="006634BB">
        <w:rPr>
          <w:rFonts w:ascii="Arial" w:hAnsi="Arial" w:cs="Arial"/>
          <w:b/>
          <w:lang w:val="sr-Cyrl-CS"/>
        </w:rPr>
        <w:t xml:space="preserve">у стечају из </w:t>
      </w:r>
      <w:r>
        <w:rPr>
          <w:rFonts w:ascii="Arial" w:hAnsi="Arial" w:cs="Arial"/>
          <w:b/>
          <w:lang w:val="sr-Cyrl-CS"/>
        </w:rPr>
        <w:t>Бора</w:t>
      </w:r>
      <w:r w:rsidR="003D1540" w:rsidRPr="006634BB">
        <w:rPr>
          <w:rFonts w:ascii="Arial" w:hAnsi="Arial" w:cs="Arial"/>
          <w:b/>
          <w:lang w:val="sr-Cyrl-CS"/>
        </w:rPr>
        <w:t xml:space="preserve">, ул. </w:t>
      </w:r>
      <w:r>
        <w:rPr>
          <w:rFonts w:ascii="Arial" w:hAnsi="Arial" w:cs="Arial"/>
          <w:b/>
          <w:lang w:val="sr-Cyrl-CS"/>
        </w:rPr>
        <w:t>7. Јула 62.</w:t>
      </w:r>
    </w:p>
    <w:p w:rsidR="003D1540" w:rsidRPr="006634BB" w:rsidRDefault="003D1540" w:rsidP="003D1540">
      <w:pPr>
        <w:jc w:val="center"/>
        <w:rPr>
          <w:rFonts w:ascii="Arial" w:hAnsi="Arial" w:cs="Arial"/>
          <w:lang w:val="sr-Cyrl-CS"/>
        </w:rPr>
      </w:pPr>
    </w:p>
    <w:p w:rsidR="003D1540" w:rsidRPr="006634BB" w:rsidRDefault="003D1540" w:rsidP="003D1540">
      <w:pPr>
        <w:jc w:val="center"/>
        <w:rPr>
          <w:rFonts w:ascii="Arial" w:hAnsi="Arial" w:cs="Arial"/>
          <w:b/>
          <w:lang w:val="sr-Cyrl-CS"/>
        </w:rPr>
      </w:pPr>
      <w:r w:rsidRPr="006634BB">
        <w:rPr>
          <w:rFonts w:ascii="Arial" w:hAnsi="Arial" w:cs="Arial"/>
          <w:b/>
          <w:lang w:val="sr-Cyrl-CS"/>
        </w:rPr>
        <w:t>ОГЛАШАВА</w:t>
      </w:r>
    </w:p>
    <w:p w:rsidR="00C03F94" w:rsidRDefault="00C03F94" w:rsidP="003D1540">
      <w:pPr>
        <w:jc w:val="center"/>
        <w:rPr>
          <w:rFonts w:ascii="Arial" w:hAnsi="Arial" w:cs="Arial"/>
          <w:b/>
          <w:lang w:val="sr-Latn-RS"/>
        </w:rPr>
      </w:pPr>
    </w:p>
    <w:p w:rsidR="003D1540" w:rsidRPr="006634BB" w:rsidRDefault="006F4D7B" w:rsidP="003D1540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RS"/>
        </w:rPr>
        <w:t>Другу</w:t>
      </w:r>
      <w:r w:rsidR="00A96970">
        <w:rPr>
          <w:rFonts w:ascii="Arial" w:hAnsi="Arial" w:cs="Arial"/>
          <w:b/>
          <w:lang w:val="sr-Cyrl-CS"/>
        </w:rPr>
        <w:t xml:space="preserve"> п</w:t>
      </w:r>
      <w:r w:rsidR="003D1540" w:rsidRPr="006634BB">
        <w:rPr>
          <w:rFonts w:ascii="Arial" w:hAnsi="Arial" w:cs="Arial"/>
          <w:b/>
          <w:lang w:val="sr-Cyrl-CS"/>
        </w:rPr>
        <w:t xml:space="preserve">родају целокупне имовине јавним </w:t>
      </w:r>
      <w:r w:rsidR="003D1540" w:rsidRPr="006634BB">
        <w:rPr>
          <w:rFonts w:ascii="Arial" w:hAnsi="Arial" w:cs="Arial"/>
          <w:b/>
          <w:lang w:val="sr-Cyrl-RS"/>
        </w:rPr>
        <w:t>надметањем</w:t>
      </w:r>
    </w:p>
    <w:p w:rsidR="003D1540" w:rsidRPr="006634BB" w:rsidRDefault="003D1540" w:rsidP="003D1540">
      <w:pPr>
        <w:jc w:val="both"/>
        <w:rPr>
          <w:rFonts w:ascii="Arial" w:hAnsi="Arial" w:cs="Arial"/>
          <w:b/>
          <w:lang w:val="sr-Latn-CS"/>
        </w:rPr>
      </w:pPr>
    </w:p>
    <w:p w:rsidR="006634BB" w:rsidRDefault="006634BB" w:rsidP="003D1540">
      <w:pPr>
        <w:jc w:val="both"/>
        <w:rPr>
          <w:rFonts w:ascii="Arial" w:hAnsi="Arial" w:cs="Arial"/>
          <w:b/>
          <w:u w:val="single"/>
          <w:lang w:val="sr-Cyrl-CS"/>
        </w:rPr>
      </w:pPr>
      <w:r w:rsidRPr="006634BB">
        <w:rPr>
          <w:rFonts w:ascii="Arial" w:hAnsi="Arial" w:cs="Arial"/>
          <w:b/>
          <w:u w:val="single"/>
          <w:lang w:val="sr-Cyrl-CS"/>
        </w:rPr>
        <w:t>Предмет продаје (назив имовинск</w:t>
      </w:r>
      <w:r w:rsidR="006F4D7B">
        <w:rPr>
          <w:rFonts w:ascii="Arial" w:hAnsi="Arial" w:cs="Arial"/>
          <w:b/>
          <w:u w:val="single"/>
          <w:lang w:val="sr-Cyrl-CS"/>
        </w:rPr>
        <w:t>их целина</w:t>
      </w:r>
      <w:r w:rsidR="00C03F94">
        <w:rPr>
          <w:rFonts w:ascii="Arial" w:hAnsi="Arial" w:cs="Arial"/>
          <w:b/>
          <w:u w:val="single"/>
          <w:lang w:val="sr-Latn-RS"/>
        </w:rPr>
        <w:t xml:space="preserve"> – </w:t>
      </w:r>
      <w:r w:rsidR="00C03F94">
        <w:rPr>
          <w:rFonts w:ascii="Arial" w:hAnsi="Arial" w:cs="Arial"/>
          <w:b/>
          <w:u w:val="single"/>
          <w:lang w:val="sr-Cyrl-RS"/>
        </w:rPr>
        <w:t>опис имовине</w:t>
      </w:r>
      <w:r w:rsidRPr="006634BB">
        <w:rPr>
          <w:rFonts w:ascii="Arial" w:hAnsi="Arial" w:cs="Arial"/>
          <w:b/>
          <w:u w:val="single"/>
          <w:lang w:val="sr-Cyrl-CS"/>
        </w:rPr>
        <w:t>):</w:t>
      </w:r>
    </w:p>
    <w:p w:rsidR="00F436E1" w:rsidRPr="006634BB" w:rsidRDefault="00F436E1" w:rsidP="003D1540">
      <w:pPr>
        <w:jc w:val="both"/>
        <w:rPr>
          <w:rFonts w:ascii="Arial" w:hAnsi="Arial" w:cs="Arial"/>
          <w:bCs/>
          <w:u w:val="single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3260"/>
      </w:tblGrid>
      <w:tr w:rsidR="0086294B" w:rsidRPr="006E1A76" w:rsidTr="00790293">
        <w:trPr>
          <w:trHeight w:val="712"/>
        </w:trPr>
        <w:tc>
          <w:tcPr>
            <w:tcW w:w="2376" w:type="dxa"/>
            <w:vAlign w:val="center"/>
          </w:tcPr>
          <w:p w:rsidR="0086294B" w:rsidRPr="006E1A76" w:rsidRDefault="0086294B" w:rsidP="0086294B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Целина 1</w:t>
            </w:r>
          </w:p>
        </w:tc>
        <w:tc>
          <w:tcPr>
            <w:tcW w:w="3828" w:type="dxa"/>
            <w:vAlign w:val="center"/>
          </w:tcPr>
          <w:p w:rsidR="0086294B" w:rsidRDefault="0086294B" w:rsidP="00795060">
            <w:pPr>
              <w:ind w:right="-108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Вредност:</w:t>
            </w:r>
            <w:r w:rsidRPr="006E1A76">
              <w:rPr>
                <w:b/>
                <w:lang w:val="sr-Cyrl-RS"/>
              </w:rPr>
              <w:t xml:space="preserve"> </w:t>
            </w:r>
            <w:r w:rsidR="00820226">
              <w:rPr>
                <w:b/>
                <w:lang w:val="sr-Cyrl-RS"/>
              </w:rPr>
              <w:t>4</w:t>
            </w:r>
            <w:r>
              <w:rPr>
                <w:b/>
                <w:lang w:val="sr-Cyrl-RS"/>
              </w:rPr>
              <w:t>.</w:t>
            </w:r>
            <w:r w:rsidR="00795060">
              <w:rPr>
                <w:b/>
                <w:lang w:val="sr-Cyrl-RS"/>
              </w:rPr>
              <w:t>41</w:t>
            </w:r>
            <w:r w:rsidR="0073248B">
              <w:rPr>
                <w:b/>
              </w:rPr>
              <w:t>5</w:t>
            </w:r>
            <w:r>
              <w:rPr>
                <w:b/>
                <w:lang w:val="sr-Cyrl-RS"/>
              </w:rPr>
              <w:t>.</w:t>
            </w:r>
            <w:r w:rsidR="0073248B">
              <w:rPr>
                <w:b/>
              </w:rPr>
              <w:t>15</w:t>
            </w:r>
            <w:r w:rsidR="00820226">
              <w:rPr>
                <w:b/>
                <w:lang w:val="sr-Cyrl-RS"/>
              </w:rPr>
              <w:t>3</w:t>
            </w:r>
            <w:r>
              <w:rPr>
                <w:b/>
                <w:lang w:val="sr-Cyrl-RS"/>
              </w:rPr>
              <w:t>,</w:t>
            </w:r>
            <w:r w:rsidR="00820226">
              <w:rPr>
                <w:b/>
                <w:lang w:val="sr-Cyrl-RS"/>
              </w:rPr>
              <w:t>6</w:t>
            </w:r>
            <w:r>
              <w:rPr>
                <w:b/>
                <w:lang w:val="sr-Cyrl-RS"/>
              </w:rPr>
              <w:t>3 дин</w:t>
            </w:r>
          </w:p>
        </w:tc>
        <w:tc>
          <w:tcPr>
            <w:tcW w:w="3260" w:type="dxa"/>
            <w:vAlign w:val="center"/>
          </w:tcPr>
          <w:p w:rsidR="0086294B" w:rsidRPr="0086294B" w:rsidRDefault="0086294B" w:rsidP="00795060">
            <w:pPr>
              <w:ind w:right="-108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Депозит: </w:t>
            </w:r>
            <w:r w:rsidRPr="0086294B">
              <w:rPr>
                <w:b/>
                <w:lang w:val="sr-Cyrl-RS"/>
              </w:rPr>
              <w:t>8</w:t>
            </w:r>
            <w:r w:rsidR="00795060">
              <w:rPr>
                <w:b/>
                <w:lang w:val="sr-Cyrl-RS"/>
              </w:rPr>
              <w:t>8</w:t>
            </w:r>
            <w:r w:rsidR="0073248B">
              <w:rPr>
                <w:b/>
              </w:rPr>
              <w:t>3</w:t>
            </w:r>
            <w:r w:rsidRPr="0086294B">
              <w:rPr>
                <w:b/>
                <w:lang w:val="sr-Cyrl-RS"/>
              </w:rPr>
              <w:t>.</w:t>
            </w:r>
            <w:r w:rsidR="0073248B">
              <w:rPr>
                <w:b/>
              </w:rPr>
              <w:t>030</w:t>
            </w:r>
            <w:r w:rsidRPr="0086294B">
              <w:rPr>
                <w:b/>
                <w:lang w:val="sr-Cyrl-RS"/>
              </w:rPr>
              <w:t>,</w:t>
            </w:r>
            <w:r w:rsidR="00820226">
              <w:rPr>
                <w:b/>
                <w:lang w:val="sr-Cyrl-RS"/>
              </w:rPr>
              <w:t>73</w:t>
            </w:r>
            <w:r w:rsidRPr="0086294B">
              <w:rPr>
                <w:b/>
                <w:lang w:val="sr-Cyrl-RS"/>
              </w:rPr>
              <w:t xml:space="preserve"> дин</w:t>
            </w:r>
          </w:p>
        </w:tc>
      </w:tr>
      <w:tr w:rsidR="0086294B" w:rsidTr="00B36171">
        <w:trPr>
          <w:trHeight w:val="1247"/>
        </w:trPr>
        <w:tc>
          <w:tcPr>
            <w:tcW w:w="9464" w:type="dxa"/>
            <w:gridSpan w:val="3"/>
          </w:tcPr>
          <w:p w:rsidR="0086294B" w:rsidRPr="0073248B" w:rsidRDefault="0086294B" w:rsidP="0073248B">
            <w:pPr>
              <w:pStyle w:val="ListParagraph"/>
              <w:numPr>
                <w:ilvl w:val="0"/>
                <w:numId w:val="3"/>
              </w:numPr>
              <w:ind w:left="175" w:hanging="142"/>
              <w:jc w:val="both"/>
              <w:rPr>
                <w:lang w:val="sr-Cyrl-RS"/>
              </w:rPr>
            </w:pPr>
            <w:r w:rsidRPr="00A96970">
              <w:rPr>
                <w:b/>
                <w:lang w:val="sr-Cyrl-RS"/>
              </w:rPr>
              <w:t>Зграда пословних услуга</w:t>
            </w:r>
            <w:r>
              <w:rPr>
                <w:lang w:val="sr-Cyrl-RS"/>
              </w:rPr>
              <w:t xml:space="preserve"> (Познато као „</w:t>
            </w:r>
            <w:r w:rsidRPr="005C4550">
              <w:rPr>
                <w:lang w:val="sr-Cyrl-RS"/>
              </w:rPr>
              <w:t>Управна зграда</w:t>
            </w:r>
            <w:r>
              <w:rPr>
                <w:lang w:val="sr-Cyrl-RS"/>
              </w:rPr>
              <w:t>“ + „Стара пекара“), површине 580 м</w:t>
            </w:r>
            <w:r>
              <w:rPr>
                <w:vertAlign w:val="superscript"/>
                <w:lang w:val="sr-Cyrl-RS"/>
              </w:rPr>
              <w:t>2</w:t>
            </w:r>
            <w:r>
              <w:rPr>
                <w:lang w:val="sr-Cyrl-RS"/>
              </w:rPr>
              <w:t xml:space="preserve"> на к.п. 3298 уписане као зграда бр. 1 у листу непокретности бр 2469 КО Књажевац на адреси Лоле Рибара 24, Књажевац</w:t>
            </w:r>
            <w:r w:rsidR="00E307BA">
              <w:t xml:space="preserve">. </w:t>
            </w:r>
            <w:r w:rsidR="00E307BA">
              <w:rPr>
                <w:lang w:val="sr-Cyrl-RS"/>
              </w:rPr>
              <w:t xml:space="preserve">Према налазу вештака </w:t>
            </w:r>
            <w:r w:rsidR="00B01A15">
              <w:rPr>
                <w:lang w:val="sr-Cyrl-RS"/>
              </w:rPr>
              <w:t xml:space="preserve">корисна </w:t>
            </w:r>
            <w:r w:rsidR="00E307BA">
              <w:rPr>
                <w:lang w:val="sr-Cyrl-RS"/>
              </w:rPr>
              <w:t>површина објекта износи 582,97 м</w:t>
            </w:r>
            <w:r w:rsidR="00E307BA">
              <w:rPr>
                <w:vertAlign w:val="superscript"/>
                <w:lang w:val="sr-Cyrl-RS"/>
              </w:rPr>
              <w:t>2</w:t>
            </w:r>
          </w:p>
          <w:p w:rsidR="00B36171" w:rsidRPr="00F1289C" w:rsidRDefault="00B36171" w:rsidP="00B36171">
            <w:pPr>
              <w:pStyle w:val="ListParagraph"/>
              <w:numPr>
                <w:ilvl w:val="0"/>
                <w:numId w:val="3"/>
              </w:numPr>
              <w:ind w:left="175" w:hanging="142"/>
              <w:jc w:val="both"/>
              <w:rPr>
                <w:lang w:val="sr-Cyrl-RS"/>
              </w:rPr>
            </w:pPr>
            <w:r w:rsidRPr="0086294B">
              <w:rPr>
                <w:b/>
                <w:lang w:val="sr-Cyrl-RS"/>
              </w:rPr>
              <w:t>Гаража</w:t>
            </w:r>
            <w:r>
              <w:rPr>
                <w:lang w:val="sr-Cyrl-RS"/>
              </w:rPr>
              <w:t xml:space="preserve"> површине 85 м</w:t>
            </w:r>
            <w:r>
              <w:rPr>
                <w:vertAlign w:val="superscript"/>
                <w:lang w:val="sr-Cyrl-RS"/>
              </w:rPr>
              <w:t>2</w:t>
            </w:r>
            <w:r>
              <w:rPr>
                <w:lang w:val="sr-Cyrl-RS"/>
              </w:rPr>
              <w:t xml:space="preserve"> на к.п. 3298 уписане као зграда бр. 10 у листу непокретности бр 2469 КО Књажевац на адреси Лоле Рибара 24, Књажевац</w:t>
            </w:r>
            <w:r w:rsidR="00E307BA">
              <w:rPr>
                <w:lang w:val="sr-Cyrl-RS"/>
              </w:rPr>
              <w:t>. Према налазу вештака површина обј. износи 86,63 м</w:t>
            </w:r>
            <w:r w:rsidR="00E307BA">
              <w:rPr>
                <w:vertAlign w:val="superscript"/>
                <w:lang w:val="sr-Cyrl-RS"/>
              </w:rPr>
              <w:t>2</w:t>
            </w:r>
          </w:p>
          <w:p w:rsidR="00B36171" w:rsidRPr="00F1289C" w:rsidRDefault="00B36171" w:rsidP="00B36171">
            <w:pPr>
              <w:pStyle w:val="ListParagraph"/>
              <w:numPr>
                <w:ilvl w:val="0"/>
                <w:numId w:val="3"/>
              </w:numPr>
              <w:ind w:left="175" w:hanging="142"/>
              <w:jc w:val="both"/>
              <w:rPr>
                <w:lang w:val="sr-Cyrl-RS"/>
              </w:rPr>
            </w:pPr>
            <w:r w:rsidRPr="00F1289C">
              <w:rPr>
                <w:b/>
                <w:lang w:val="sr-Cyrl-RS"/>
              </w:rPr>
              <w:t>Портирница</w:t>
            </w:r>
            <w:r>
              <w:rPr>
                <w:b/>
                <w:lang w:val="sr-Cyrl-RS"/>
              </w:rPr>
              <w:t xml:space="preserve"> </w:t>
            </w:r>
            <w:r>
              <w:rPr>
                <w:lang w:val="sr-Cyrl-RS"/>
              </w:rPr>
              <w:t>Објекат других делатности, површине 14 м</w:t>
            </w:r>
            <w:r>
              <w:rPr>
                <w:vertAlign w:val="superscript"/>
                <w:lang w:val="sr-Cyrl-RS"/>
              </w:rPr>
              <w:t>2</w:t>
            </w:r>
            <w:r>
              <w:rPr>
                <w:lang w:val="sr-Cyrl-RS"/>
              </w:rPr>
              <w:t xml:space="preserve"> на к.п. 3298 уписане као зграда бр. 12 у листу непокретности бр 2469 КО Књажевац на адреси Лоле Рибара 24, Књажевац</w:t>
            </w:r>
            <w:r w:rsidR="00E307BA">
              <w:rPr>
                <w:lang w:val="sr-Cyrl-RS"/>
              </w:rPr>
              <w:t xml:space="preserve">. Према налазу вештака </w:t>
            </w:r>
            <w:r w:rsidR="00B01A15">
              <w:rPr>
                <w:lang w:val="sr-Cyrl-RS"/>
              </w:rPr>
              <w:t xml:space="preserve">корисна </w:t>
            </w:r>
            <w:r w:rsidR="00E307BA">
              <w:rPr>
                <w:lang w:val="sr-Cyrl-RS"/>
              </w:rPr>
              <w:t>површина објекта износи 8,06 м</w:t>
            </w:r>
            <w:r w:rsidR="00E307BA">
              <w:rPr>
                <w:vertAlign w:val="superscript"/>
                <w:lang w:val="sr-Cyrl-RS"/>
              </w:rPr>
              <w:t>2</w:t>
            </w:r>
          </w:p>
          <w:p w:rsidR="00B36171" w:rsidRDefault="00B36171" w:rsidP="00B36171">
            <w:pPr>
              <w:pStyle w:val="ListParagraph"/>
              <w:numPr>
                <w:ilvl w:val="0"/>
                <w:numId w:val="3"/>
              </w:numPr>
              <w:ind w:left="175" w:hanging="142"/>
              <w:jc w:val="both"/>
              <w:rPr>
                <w:lang w:val="sr-Cyrl-RS"/>
              </w:rPr>
            </w:pPr>
            <w:r w:rsidRPr="005C4550">
              <w:rPr>
                <w:lang w:val="sr-Cyrl-RS"/>
              </w:rPr>
              <w:t xml:space="preserve">Покретна имовина </w:t>
            </w:r>
            <w:r>
              <w:rPr>
                <w:lang w:val="sr-Cyrl-RS"/>
              </w:rPr>
              <w:t>(инвентар и опрема)</w:t>
            </w:r>
            <w:r w:rsidRPr="005C4550">
              <w:rPr>
                <w:lang w:val="sr-Cyrl-RS"/>
              </w:rPr>
              <w:t xml:space="preserve">  у </w:t>
            </w:r>
            <w:r w:rsidR="0073248B" w:rsidRPr="005C4550">
              <w:rPr>
                <w:lang w:val="sr-Cyrl-RS"/>
              </w:rPr>
              <w:t>„</w:t>
            </w:r>
            <w:r w:rsidR="0073248B">
              <w:rPr>
                <w:lang w:val="sr-Cyrl-RS"/>
              </w:rPr>
              <w:t xml:space="preserve">Згради пословних услуга“, </w:t>
            </w:r>
            <w:r w:rsidRPr="005C4550">
              <w:rPr>
                <w:lang w:val="sr-Cyrl-RS"/>
              </w:rPr>
              <w:t xml:space="preserve">„Гаражи“ и „Портирници“ </w:t>
            </w:r>
            <w:r w:rsidR="00E307BA">
              <w:rPr>
                <w:lang w:val="sr-Cyrl-RS"/>
              </w:rPr>
              <w:t>према спецификацији у продајној документацији</w:t>
            </w:r>
            <w:r>
              <w:rPr>
                <w:lang w:val="sr-Cyrl-RS"/>
              </w:rPr>
              <w:t xml:space="preserve"> </w:t>
            </w:r>
          </w:p>
          <w:p w:rsidR="0073248B" w:rsidRPr="0073248B" w:rsidRDefault="00EC1BC2" w:rsidP="0073248B">
            <w:pPr>
              <w:pStyle w:val="ListParagraph"/>
              <w:numPr>
                <w:ilvl w:val="0"/>
                <w:numId w:val="3"/>
              </w:numPr>
              <w:ind w:left="175" w:hanging="142"/>
              <w:jc w:val="both"/>
              <w:rPr>
                <w:lang w:val="sr-Cyrl-RS"/>
              </w:rPr>
            </w:pPr>
            <w:r w:rsidRPr="0073248B">
              <w:rPr>
                <w:color w:val="000000" w:themeColor="text1"/>
                <w:lang w:val="sr-Cyrl-RS"/>
              </w:rPr>
              <w:t>Ванкњижни монтажни објект интегрисан у ограду плаца</w:t>
            </w:r>
            <w:r w:rsidR="0073248B" w:rsidRPr="0073248B">
              <w:rPr>
                <w:color w:val="000000" w:themeColor="text1"/>
              </w:rPr>
              <w:t xml:space="preserve"> </w:t>
            </w:r>
            <w:r w:rsidR="0073248B" w:rsidRPr="0073248B">
              <w:rPr>
                <w:color w:val="000000" w:themeColor="text1"/>
                <w:lang w:val="sr-Cyrl-RS"/>
              </w:rPr>
              <w:t>(киоск) површине 11,96 м</w:t>
            </w:r>
            <w:r w:rsidR="0073248B" w:rsidRPr="0073248B">
              <w:rPr>
                <w:color w:val="000000" w:themeColor="text1"/>
                <w:vertAlign w:val="superscript"/>
                <w:lang w:val="sr-Cyrl-RS"/>
              </w:rPr>
              <w:t>2</w:t>
            </w:r>
          </w:p>
        </w:tc>
      </w:tr>
      <w:tr w:rsidR="00B36171" w:rsidRPr="006E1A76" w:rsidTr="0022308D">
        <w:trPr>
          <w:trHeight w:val="712"/>
        </w:trPr>
        <w:tc>
          <w:tcPr>
            <w:tcW w:w="2376" w:type="dxa"/>
            <w:vAlign w:val="center"/>
          </w:tcPr>
          <w:p w:rsidR="00B36171" w:rsidRPr="006E1A76" w:rsidRDefault="00B36171" w:rsidP="0022308D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Целина 2</w:t>
            </w:r>
          </w:p>
        </w:tc>
        <w:tc>
          <w:tcPr>
            <w:tcW w:w="3828" w:type="dxa"/>
            <w:vAlign w:val="center"/>
          </w:tcPr>
          <w:p w:rsidR="00B36171" w:rsidRDefault="00B36171" w:rsidP="0073248B">
            <w:pPr>
              <w:ind w:right="-108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Вредност:</w:t>
            </w:r>
            <w:r w:rsidRPr="006E1A76">
              <w:rPr>
                <w:b/>
                <w:lang w:val="sr-Cyrl-RS"/>
              </w:rPr>
              <w:t xml:space="preserve"> </w:t>
            </w:r>
            <w:r w:rsidR="00A02AFE">
              <w:rPr>
                <w:b/>
                <w:lang w:val="sr-Cyrl-RS"/>
              </w:rPr>
              <w:t>7</w:t>
            </w:r>
            <w:r>
              <w:rPr>
                <w:b/>
                <w:lang w:val="sr-Cyrl-RS"/>
              </w:rPr>
              <w:t>.</w:t>
            </w:r>
            <w:r w:rsidR="00A02AFE">
              <w:rPr>
                <w:b/>
                <w:lang w:val="sr-Cyrl-RS"/>
              </w:rPr>
              <w:t>53</w:t>
            </w:r>
            <w:r w:rsidR="0073248B">
              <w:rPr>
                <w:b/>
                <w:lang w:val="sr-Cyrl-RS"/>
              </w:rPr>
              <w:t>4</w:t>
            </w:r>
            <w:r>
              <w:rPr>
                <w:b/>
                <w:lang w:val="sr-Cyrl-RS"/>
              </w:rPr>
              <w:t>.</w:t>
            </w:r>
            <w:r w:rsidR="0073248B">
              <w:rPr>
                <w:b/>
                <w:lang w:val="sr-Cyrl-RS"/>
              </w:rPr>
              <w:t>6</w:t>
            </w:r>
            <w:r w:rsidR="00A02AFE">
              <w:rPr>
                <w:b/>
                <w:lang w:val="sr-Cyrl-RS"/>
              </w:rPr>
              <w:t>05</w:t>
            </w:r>
            <w:r>
              <w:rPr>
                <w:b/>
                <w:lang w:val="sr-Cyrl-RS"/>
              </w:rPr>
              <w:t>,</w:t>
            </w:r>
            <w:r w:rsidR="00A02AFE">
              <w:rPr>
                <w:b/>
                <w:lang w:val="sr-Cyrl-RS"/>
              </w:rPr>
              <w:t>19</w:t>
            </w:r>
            <w:r>
              <w:rPr>
                <w:b/>
                <w:lang w:val="sr-Cyrl-RS"/>
              </w:rPr>
              <w:t xml:space="preserve"> дин</w:t>
            </w:r>
          </w:p>
        </w:tc>
        <w:tc>
          <w:tcPr>
            <w:tcW w:w="3260" w:type="dxa"/>
            <w:vAlign w:val="center"/>
          </w:tcPr>
          <w:p w:rsidR="00B36171" w:rsidRPr="0086294B" w:rsidRDefault="00B36171" w:rsidP="0073248B">
            <w:pPr>
              <w:ind w:right="-108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Депозит: </w:t>
            </w:r>
            <w:r w:rsidRPr="0086294B">
              <w:rPr>
                <w:b/>
                <w:lang w:val="sr-Cyrl-RS"/>
              </w:rPr>
              <w:t>1.</w:t>
            </w:r>
            <w:r w:rsidR="00A02AFE">
              <w:rPr>
                <w:b/>
                <w:lang w:val="sr-Cyrl-RS"/>
              </w:rPr>
              <w:t>506</w:t>
            </w:r>
            <w:r w:rsidRPr="0086294B">
              <w:rPr>
                <w:b/>
                <w:lang w:val="sr-Cyrl-RS"/>
              </w:rPr>
              <w:t>.</w:t>
            </w:r>
            <w:r w:rsidR="0073248B">
              <w:rPr>
                <w:b/>
                <w:lang w:val="sr-Cyrl-RS"/>
              </w:rPr>
              <w:t>921</w:t>
            </w:r>
            <w:r w:rsidRPr="0086294B">
              <w:rPr>
                <w:b/>
                <w:lang w:val="sr-Cyrl-RS"/>
              </w:rPr>
              <w:t>,</w:t>
            </w:r>
            <w:r w:rsidR="00A02AFE">
              <w:rPr>
                <w:b/>
                <w:lang w:val="sr-Cyrl-RS"/>
              </w:rPr>
              <w:t>04</w:t>
            </w:r>
            <w:r w:rsidRPr="0086294B">
              <w:rPr>
                <w:b/>
                <w:lang w:val="sr-Cyrl-RS"/>
              </w:rPr>
              <w:t xml:space="preserve"> дин</w:t>
            </w:r>
          </w:p>
        </w:tc>
      </w:tr>
      <w:tr w:rsidR="00B36171" w:rsidTr="00B36171">
        <w:trPr>
          <w:trHeight w:val="836"/>
        </w:trPr>
        <w:tc>
          <w:tcPr>
            <w:tcW w:w="9464" w:type="dxa"/>
            <w:gridSpan w:val="3"/>
          </w:tcPr>
          <w:p w:rsidR="00B36171" w:rsidRPr="0068765A" w:rsidRDefault="00B36171" w:rsidP="00B36171">
            <w:pPr>
              <w:pStyle w:val="ListParagraph"/>
              <w:numPr>
                <w:ilvl w:val="0"/>
                <w:numId w:val="3"/>
              </w:numPr>
              <w:ind w:left="175" w:hanging="142"/>
              <w:jc w:val="both"/>
              <w:rPr>
                <w:lang w:val="sr-Cyrl-RS"/>
              </w:rPr>
            </w:pPr>
            <w:r w:rsidRPr="00A96970">
              <w:rPr>
                <w:b/>
                <w:lang w:val="sr-Cyrl-RS"/>
              </w:rPr>
              <w:t>Пекара</w:t>
            </w:r>
            <w:r>
              <w:rPr>
                <w:lang w:val="sr-Cyrl-RS"/>
              </w:rPr>
              <w:t xml:space="preserve"> – Објекат осталих индустријских делатности, површине 1101 м</w:t>
            </w:r>
            <w:r>
              <w:rPr>
                <w:vertAlign w:val="superscript"/>
                <w:lang w:val="sr-Cyrl-RS"/>
              </w:rPr>
              <w:t>2</w:t>
            </w:r>
            <w:r>
              <w:rPr>
                <w:lang w:val="sr-Cyrl-RS"/>
              </w:rPr>
              <w:t xml:space="preserve"> на к.п. 3298 уписане као зграда бр. 2 у листу непокретности бр 2469 КО Књажевац на адреси Лоле Рибара 24, Књажевац</w:t>
            </w:r>
            <w:r w:rsidR="00820226">
              <w:rPr>
                <w:lang w:val="sr-Cyrl-RS"/>
              </w:rPr>
              <w:t>. Према налазу вештака</w:t>
            </w:r>
            <w:r w:rsidR="00B01A15">
              <w:rPr>
                <w:lang w:val="sr-Cyrl-RS"/>
              </w:rPr>
              <w:t xml:space="preserve"> корисна</w:t>
            </w:r>
            <w:r w:rsidR="00820226">
              <w:rPr>
                <w:lang w:val="sr-Cyrl-RS"/>
              </w:rPr>
              <w:t xml:space="preserve"> површина објекта износи 1110,03 м</w:t>
            </w:r>
            <w:r w:rsidR="00820226">
              <w:rPr>
                <w:vertAlign w:val="superscript"/>
                <w:lang w:val="sr-Cyrl-RS"/>
              </w:rPr>
              <w:t>2</w:t>
            </w:r>
          </w:p>
          <w:p w:rsidR="00B36171" w:rsidRPr="00A96970" w:rsidRDefault="00B36171" w:rsidP="00B36171">
            <w:pPr>
              <w:pStyle w:val="ListParagraph"/>
              <w:numPr>
                <w:ilvl w:val="0"/>
                <w:numId w:val="3"/>
              </w:numPr>
              <w:ind w:left="175" w:hanging="142"/>
              <w:jc w:val="both"/>
              <w:rPr>
                <w:b/>
                <w:lang w:val="sr-Cyrl-RS"/>
              </w:rPr>
            </w:pPr>
            <w:r w:rsidRPr="005C4550">
              <w:rPr>
                <w:lang w:val="sr-Cyrl-RS"/>
              </w:rPr>
              <w:t>Покретна имовина</w:t>
            </w:r>
            <w:r>
              <w:rPr>
                <w:lang w:val="sr-Cyrl-RS"/>
              </w:rPr>
              <w:t xml:space="preserve"> (инвентар и опрема)</w:t>
            </w:r>
            <w:r w:rsidRPr="005C4550">
              <w:rPr>
                <w:lang w:val="sr-Cyrl-RS"/>
              </w:rPr>
              <w:t xml:space="preserve"> у „</w:t>
            </w:r>
            <w:r>
              <w:rPr>
                <w:lang w:val="sr-Cyrl-RS"/>
              </w:rPr>
              <w:t xml:space="preserve">Пекари“ </w:t>
            </w:r>
            <w:r w:rsidR="00E307BA">
              <w:rPr>
                <w:lang w:val="sr-Cyrl-RS"/>
              </w:rPr>
              <w:t>према спецификацији у продајној документацији</w:t>
            </w:r>
          </w:p>
        </w:tc>
      </w:tr>
      <w:tr w:rsidR="00B36171" w:rsidRPr="006E1A76" w:rsidTr="0022308D">
        <w:trPr>
          <w:trHeight w:val="712"/>
        </w:trPr>
        <w:tc>
          <w:tcPr>
            <w:tcW w:w="2376" w:type="dxa"/>
            <w:vAlign w:val="center"/>
          </w:tcPr>
          <w:p w:rsidR="00B36171" w:rsidRPr="006E1A76" w:rsidRDefault="00B36171" w:rsidP="0022308D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Целина 3</w:t>
            </w:r>
          </w:p>
        </w:tc>
        <w:tc>
          <w:tcPr>
            <w:tcW w:w="3828" w:type="dxa"/>
            <w:vAlign w:val="center"/>
          </w:tcPr>
          <w:p w:rsidR="00B36171" w:rsidRDefault="00B36171" w:rsidP="00B01A15">
            <w:pPr>
              <w:ind w:right="-108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Вредност:</w:t>
            </w:r>
            <w:r w:rsidRPr="006E1A76">
              <w:rPr>
                <w:b/>
                <w:lang w:val="sr-Cyrl-RS"/>
              </w:rPr>
              <w:t xml:space="preserve"> </w:t>
            </w:r>
            <w:r w:rsidR="00B01A15">
              <w:rPr>
                <w:b/>
                <w:lang w:val="sr-Cyrl-RS"/>
              </w:rPr>
              <w:t>12</w:t>
            </w:r>
            <w:r>
              <w:rPr>
                <w:b/>
                <w:lang w:val="sr-Cyrl-RS"/>
              </w:rPr>
              <w:t>.</w:t>
            </w:r>
            <w:r w:rsidR="00B01A15">
              <w:rPr>
                <w:b/>
                <w:lang w:val="sr-Cyrl-RS"/>
              </w:rPr>
              <w:t>559</w:t>
            </w:r>
            <w:r>
              <w:rPr>
                <w:b/>
                <w:lang w:val="sr-Cyrl-RS"/>
              </w:rPr>
              <w:t>.</w:t>
            </w:r>
            <w:r w:rsidR="00B01A15">
              <w:rPr>
                <w:b/>
                <w:lang w:val="sr-Cyrl-RS"/>
              </w:rPr>
              <w:t>898</w:t>
            </w:r>
            <w:r>
              <w:rPr>
                <w:b/>
                <w:lang w:val="sr-Cyrl-RS"/>
              </w:rPr>
              <w:t>,</w:t>
            </w:r>
            <w:r w:rsidR="00B01A15">
              <w:rPr>
                <w:b/>
                <w:lang w:val="sr-Cyrl-RS"/>
              </w:rPr>
              <w:t>62</w:t>
            </w:r>
            <w:r>
              <w:rPr>
                <w:b/>
                <w:lang w:val="sr-Cyrl-RS"/>
              </w:rPr>
              <w:t xml:space="preserve"> дин</w:t>
            </w:r>
          </w:p>
        </w:tc>
        <w:tc>
          <w:tcPr>
            <w:tcW w:w="3260" w:type="dxa"/>
            <w:vAlign w:val="center"/>
          </w:tcPr>
          <w:p w:rsidR="00B36171" w:rsidRPr="0086294B" w:rsidRDefault="00B36171" w:rsidP="00B01A15">
            <w:pPr>
              <w:ind w:right="-108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Депозит: </w:t>
            </w:r>
            <w:r w:rsidR="00B01A15">
              <w:rPr>
                <w:b/>
                <w:lang w:val="sr-Cyrl-RS"/>
              </w:rPr>
              <w:t>2.511.979</w:t>
            </w:r>
            <w:r w:rsidRPr="0086294B">
              <w:rPr>
                <w:b/>
                <w:lang w:val="sr-Cyrl-RS"/>
              </w:rPr>
              <w:t>,</w:t>
            </w:r>
            <w:r w:rsidR="00B01A15">
              <w:rPr>
                <w:b/>
                <w:lang w:val="sr-Cyrl-RS"/>
              </w:rPr>
              <w:t>72</w:t>
            </w:r>
            <w:r w:rsidRPr="0086294B">
              <w:rPr>
                <w:b/>
                <w:lang w:val="sr-Cyrl-RS"/>
              </w:rPr>
              <w:t xml:space="preserve"> дин</w:t>
            </w:r>
          </w:p>
        </w:tc>
      </w:tr>
      <w:tr w:rsidR="00B36171" w:rsidTr="00B36171">
        <w:trPr>
          <w:trHeight w:val="836"/>
        </w:trPr>
        <w:tc>
          <w:tcPr>
            <w:tcW w:w="9464" w:type="dxa"/>
            <w:gridSpan w:val="3"/>
          </w:tcPr>
          <w:p w:rsidR="00820226" w:rsidRPr="0073248B" w:rsidRDefault="00B36171" w:rsidP="0073248B">
            <w:pPr>
              <w:pStyle w:val="ListParagraph"/>
              <w:numPr>
                <w:ilvl w:val="0"/>
                <w:numId w:val="3"/>
              </w:numPr>
              <w:ind w:left="175" w:hanging="142"/>
              <w:jc w:val="both"/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Млин </w:t>
            </w:r>
            <w:r>
              <w:rPr>
                <w:lang w:val="sr-Cyrl-RS"/>
              </w:rPr>
              <w:t>– Објекат осталих индустријских делатности, површине 194 м</w:t>
            </w:r>
            <w:r>
              <w:rPr>
                <w:vertAlign w:val="superscript"/>
                <w:lang w:val="sr-Cyrl-RS"/>
              </w:rPr>
              <w:t>2</w:t>
            </w:r>
            <w:r>
              <w:rPr>
                <w:lang w:val="sr-Cyrl-RS"/>
              </w:rPr>
              <w:t xml:space="preserve"> на к.п. 3298 уписане као зграда бр. 3 у листу непокретности бр 2469 КО Књажевац на адреси Лоле Рибара 24, Књажевац</w:t>
            </w:r>
            <w:r w:rsidR="0073248B">
              <w:rPr>
                <w:lang w:val="sr-Cyrl-RS"/>
              </w:rPr>
              <w:t>. Према налазу вештака корисна површина млина је 383,67 м</w:t>
            </w:r>
            <w:r w:rsidR="0073248B">
              <w:rPr>
                <w:vertAlign w:val="superscript"/>
                <w:lang w:val="sr-Cyrl-RS"/>
              </w:rPr>
              <w:t>2</w:t>
            </w:r>
            <w:r w:rsidR="0073248B">
              <w:rPr>
                <w:lang w:val="sr-Cyrl-RS"/>
              </w:rPr>
              <w:t xml:space="preserve"> са пратећом надстрешницом површине 157,14 м</w:t>
            </w:r>
            <w:r w:rsidR="0073248B">
              <w:rPr>
                <w:vertAlign w:val="superscript"/>
                <w:lang w:val="sr-Cyrl-RS"/>
              </w:rPr>
              <w:t>2</w:t>
            </w:r>
          </w:p>
          <w:p w:rsidR="00820226" w:rsidRPr="00820226" w:rsidRDefault="00B36171" w:rsidP="00B01A15">
            <w:pPr>
              <w:pStyle w:val="ListParagraph"/>
              <w:numPr>
                <w:ilvl w:val="0"/>
                <w:numId w:val="3"/>
              </w:numPr>
              <w:ind w:left="175" w:hanging="142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Магацин </w:t>
            </w:r>
            <w:r>
              <w:rPr>
                <w:lang w:val="sr-Cyrl-RS"/>
              </w:rPr>
              <w:t>– Објекат осталих индустријских делатности, површине 710 м</w:t>
            </w:r>
            <w:r>
              <w:rPr>
                <w:vertAlign w:val="superscript"/>
                <w:lang w:val="sr-Cyrl-RS"/>
              </w:rPr>
              <w:t>2</w:t>
            </w:r>
            <w:r>
              <w:rPr>
                <w:lang w:val="sr-Cyrl-RS"/>
              </w:rPr>
              <w:t xml:space="preserve"> на к.п. 3298 уписане као зграда бр. 6 у листу непокретности бр 2469 КО Књажевац на адреси Лоле Рибара 24, Књажевац</w:t>
            </w:r>
            <w:r w:rsidR="0073248B">
              <w:rPr>
                <w:lang w:val="sr-Cyrl-RS"/>
              </w:rPr>
              <w:t>. Према налазу вештака корисна површина објекта је 2.281,23 м</w:t>
            </w:r>
            <w:r w:rsidR="0073248B">
              <w:rPr>
                <w:vertAlign w:val="superscript"/>
                <w:lang w:val="sr-Cyrl-RS"/>
              </w:rPr>
              <w:t>2</w:t>
            </w:r>
            <w:r w:rsidR="00B01A15">
              <w:rPr>
                <w:lang w:val="sr-Cyrl-RS"/>
              </w:rPr>
              <w:t xml:space="preserve">. </w:t>
            </w:r>
          </w:p>
        </w:tc>
      </w:tr>
      <w:tr w:rsidR="00B36171" w:rsidRPr="006E1A76" w:rsidTr="0022308D">
        <w:trPr>
          <w:trHeight w:val="712"/>
        </w:trPr>
        <w:tc>
          <w:tcPr>
            <w:tcW w:w="2376" w:type="dxa"/>
            <w:vAlign w:val="center"/>
          </w:tcPr>
          <w:p w:rsidR="00B36171" w:rsidRPr="006E1A76" w:rsidRDefault="00B36171" w:rsidP="0022308D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Целина 4</w:t>
            </w:r>
          </w:p>
        </w:tc>
        <w:tc>
          <w:tcPr>
            <w:tcW w:w="3828" w:type="dxa"/>
            <w:vAlign w:val="center"/>
          </w:tcPr>
          <w:p w:rsidR="00B36171" w:rsidRDefault="00B36171" w:rsidP="00B01A15">
            <w:pPr>
              <w:ind w:right="-108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Вредност:</w:t>
            </w:r>
            <w:r w:rsidRPr="006E1A76">
              <w:rPr>
                <w:b/>
                <w:lang w:val="sr-Cyrl-RS"/>
              </w:rPr>
              <w:t xml:space="preserve"> </w:t>
            </w:r>
            <w:r w:rsidR="00B01A15">
              <w:rPr>
                <w:b/>
                <w:lang w:val="sr-Cyrl-RS"/>
              </w:rPr>
              <w:t>4</w:t>
            </w:r>
            <w:r>
              <w:rPr>
                <w:b/>
                <w:lang w:val="sr-Cyrl-RS"/>
              </w:rPr>
              <w:t>.</w:t>
            </w:r>
            <w:r w:rsidR="00B01A15">
              <w:rPr>
                <w:b/>
                <w:lang w:val="sr-Cyrl-RS"/>
              </w:rPr>
              <w:t>773</w:t>
            </w:r>
            <w:r>
              <w:rPr>
                <w:b/>
                <w:lang w:val="sr-Cyrl-RS"/>
              </w:rPr>
              <w:t>.</w:t>
            </w:r>
            <w:r w:rsidR="00B01A15">
              <w:rPr>
                <w:b/>
                <w:lang w:val="sr-Cyrl-RS"/>
              </w:rPr>
              <w:t>161</w:t>
            </w:r>
            <w:r>
              <w:rPr>
                <w:b/>
                <w:lang w:val="sr-Cyrl-RS"/>
              </w:rPr>
              <w:t>,</w:t>
            </w:r>
            <w:r w:rsidR="00B01A15">
              <w:rPr>
                <w:b/>
                <w:lang w:val="sr-Cyrl-RS"/>
              </w:rPr>
              <w:t>58</w:t>
            </w:r>
            <w:r>
              <w:rPr>
                <w:b/>
                <w:lang w:val="sr-Cyrl-RS"/>
              </w:rPr>
              <w:t xml:space="preserve"> дин</w:t>
            </w:r>
          </w:p>
        </w:tc>
        <w:tc>
          <w:tcPr>
            <w:tcW w:w="3260" w:type="dxa"/>
            <w:vAlign w:val="center"/>
          </w:tcPr>
          <w:p w:rsidR="00B36171" w:rsidRPr="0086294B" w:rsidRDefault="00B36171" w:rsidP="00B01A15">
            <w:pPr>
              <w:ind w:right="-108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Депозит: </w:t>
            </w:r>
            <w:r w:rsidR="00B01A15">
              <w:rPr>
                <w:b/>
                <w:lang w:val="sr-Cyrl-RS"/>
              </w:rPr>
              <w:t>954</w:t>
            </w:r>
            <w:r w:rsidRPr="0086294B">
              <w:rPr>
                <w:b/>
                <w:lang w:val="sr-Cyrl-RS"/>
              </w:rPr>
              <w:t>.</w:t>
            </w:r>
            <w:r w:rsidR="00B01A15">
              <w:rPr>
                <w:b/>
                <w:lang w:val="sr-Cyrl-RS"/>
              </w:rPr>
              <w:t>632</w:t>
            </w:r>
            <w:r w:rsidRPr="0086294B">
              <w:rPr>
                <w:b/>
                <w:lang w:val="sr-Cyrl-RS"/>
              </w:rPr>
              <w:t>,</w:t>
            </w:r>
            <w:r w:rsidR="00B01A15">
              <w:rPr>
                <w:b/>
                <w:lang w:val="sr-Cyrl-RS"/>
              </w:rPr>
              <w:t>32</w:t>
            </w:r>
            <w:r w:rsidRPr="0086294B">
              <w:rPr>
                <w:b/>
                <w:lang w:val="sr-Cyrl-RS"/>
              </w:rPr>
              <w:t xml:space="preserve"> дин</w:t>
            </w:r>
          </w:p>
        </w:tc>
      </w:tr>
      <w:tr w:rsidR="00B36171" w:rsidTr="006F4D7B">
        <w:trPr>
          <w:trHeight w:val="557"/>
        </w:trPr>
        <w:tc>
          <w:tcPr>
            <w:tcW w:w="9464" w:type="dxa"/>
            <w:gridSpan w:val="3"/>
          </w:tcPr>
          <w:p w:rsidR="00B36171" w:rsidRDefault="00B36171" w:rsidP="00B36171">
            <w:pPr>
              <w:pStyle w:val="ListParagraph"/>
              <w:numPr>
                <w:ilvl w:val="0"/>
                <w:numId w:val="3"/>
              </w:numPr>
              <w:ind w:left="175" w:hanging="142"/>
              <w:jc w:val="both"/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Објекат уз силос </w:t>
            </w:r>
            <w:r>
              <w:rPr>
                <w:lang w:val="sr-Cyrl-RS"/>
              </w:rPr>
              <w:t>– Објекат осталих индустријских делатности  (Познато као „машинска кућа“, површине 84 м</w:t>
            </w:r>
            <w:r>
              <w:rPr>
                <w:vertAlign w:val="superscript"/>
                <w:lang w:val="sr-Cyrl-RS"/>
              </w:rPr>
              <w:t>2</w:t>
            </w:r>
            <w:r>
              <w:rPr>
                <w:lang w:val="sr-Cyrl-RS"/>
              </w:rPr>
              <w:t xml:space="preserve"> на к.п. 3298 уписане као зграда бр. 7 у листу непокретности бр 2469 КО Књажевац на адреси Лоле Рибара 24, Књажевац</w:t>
            </w:r>
            <w:r w:rsidR="00B01A15">
              <w:rPr>
                <w:lang w:val="sr-Cyrl-RS"/>
              </w:rPr>
              <w:t xml:space="preserve">. Према налазу вештака корисна површина </w:t>
            </w:r>
            <w:r w:rsidR="006F4D7B">
              <w:rPr>
                <w:lang w:val="sr-Cyrl-RS"/>
              </w:rPr>
              <w:t>објекта</w:t>
            </w:r>
            <w:r w:rsidR="00B01A15">
              <w:rPr>
                <w:lang w:val="sr-Cyrl-RS"/>
              </w:rPr>
              <w:t xml:space="preserve"> је 532,96 м</w:t>
            </w:r>
            <w:r w:rsidR="00B01A15">
              <w:rPr>
                <w:vertAlign w:val="superscript"/>
                <w:lang w:val="sr-Cyrl-RS"/>
              </w:rPr>
              <w:t>2</w:t>
            </w:r>
          </w:p>
          <w:p w:rsidR="00B36171" w:rsidRPr="00B36171" w:rsidRDefault="00B36171" w:rsidP="00B36171">
            <w:pPr>
              <w:pStyle w:val="ListParagraph"/>
              <w:numPr>
                <w:ilvl w:val="0"/>
                <w:numId w:val="3"/>
              </w:numPr>
              <w:ind w:left="175" w:hanging="142"/>
              <w:jc w:val="both"/>
              <w:rPr>
                <w:lang w:val="sr-Cyrl-RS"/>
              </w:rPr>
            </w:pPr>
            <w:r w:rsidRPr="00B36171">
              <w:rPr>
                <w:b/>
                <w:lang w:val="sr-Cyrl-RS"/>
              </w:rPr>
              <w:t xml:space="preserve">Надстрешница уз силос </w:t>
            </w:r>
            <w:r w:rsidRPr="00B36171">
              <w:rPr>
                <w:lang w:val="sr-Cyrl-RS"/>
              </w:rPr>
              <w:t>Објекат других делатности, површине 71 м</w:t>
            </w:r>
            <w:r w:rsidRPr="00B36171">
              <w:rPr>
                <w:vertAlign w:val="superscript"/>
                <w:lang w:val="sr-Cyrl-RS"/>
              </w:rPr>
              <w:t>2</w:t>
            </w:r>
            <w:r w:rsidRPr="00B36171">
              <w:rPr>
                <w:lang w:val="sr-Cyrl-RS"/>
              </w:rPr>
              <w:t xml:space="preserve"> на к.п. 3298 уписане као зграда бр. 13 у листу непокретности бр 2469 КО Књажевац на адреси Лоле Рибара 24, Књажевац</w:t>
            </w:r>
            <w:r w:rsidR="00B01A15">
              <w:rPr>
                <w:lang w:val="sr-Cyrl-RS"/>
              </w:rPr>
              <w:t xml:space="preserve">. Према налазу вештака корисна површина </w:t>
            </w:r>
            <w:r w:rsidR="006F4D7B">
              <w:rPr>
                <w:lang w:val="sr-Cyrl-RS"/>
              </w:rPr>
              <w:t>објекта</w:t>
            </w:r>
            <w:r w:rsidR="00B01A15">
              <w:rPr>
                <w:lang w:val="sr-Cyrl-RS"/>
              </w:rPr>
              <w:t xml:space="preserve"> је 112,85 м</w:t>
            </w:r>
            <w:r w:rsidR="00B01A15">
              <w:rPr>
                <w:vertAlign w:val="superscript"/>
                <w:lang w:val="sr-Cyrl-RS"/>
              </w:rPr>
              <w:t>2</w:t>
            </w:r>
          </w:p>
          <w:p w:rsidR="00B36171" w:rsidRPr="00B36171" w:rsidRDefault="00B36171" w:rsidP="00B36171">
            <w:pPr>
              <w:pStyle w:val="ListParagraph"/>
              <w:numPr>
                <w:ilvl w:val="0"/>
                <w:numId w:val="3"/>
              </w:numPr>
              <w:ind w:left="175" w:hanging="142"/>
              <w:jc w:val="both"/>
              <w:rPr>
                <w:lang w:val="sr-Cyrl-RS"/>
              </w:rPr>
            </w:pPr>
            <w:r w:rsidRPr="005C4550">
              <w:rPr>
                <w:lang w:val="sr-Cyrl-RS"/>
              </w:rPr>
              <w:t>Покретна имовина</w:t>
            </w:r>
            <w:r>
              <w:rPr>
                <w:lang w:val="sr-Cyrl-RS"/>
              </w:rPr>
              <w:t xml:space="preserve"> (инвентар и опрема)</w:t>
            </w:r>
            <w:r w:rsidRPr="005C4550">
              <w:rPr>
                <w:lang w:val="sr-Cyrl-RS"/>
              </w:rPr>
              <w:t xml:space="preserve"> у „</w:t>
            </w:r>
            <w:r>
              <w:rPr>
                <w:lang w:val="sr-Cyrl-RS"/>
              </w:rPr>
              <w:t xml:space="preserve">Објекат уз силос - Машинској кући“ и „Надстрешница уз силос – Истоварна рампа“ </w:t>
            </w:r>
          </w:p>
        </w:tc>
      </w:tr>
      <w:tr w:rsidR="00F1289C" w:rsidRPr="006E1A76" w:rsidTr="00B36171">
        <w:tc>
          <w:tcPr>
            <w:tcW w:w="2376" w:type="dxa"/>
            <w:vAlign w:val="center"/>
          </w:tcPr>
          <w:p w:rsidR="00F1289C" w:rsidRPr="00B36171" w:rsidRDefault="00F1289C" w:rsidP="00B90866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lastRenderedPageBreak/>
              <w:t xml:space="preserve">Целина </w:t>
            </w:r>
            <w:r w:rsidR="00B36171">
              <w:rPr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828" w:type="dxa"/>
            <w:vAlign w:val="center"/>
          </w:tcPr>
          <w:p w:rsidR="00F1289C" w:rsidRDefault="00F1289C" w:rsidP="00B01A15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Вредност:</w:t>
            </w:r>
            <w:r w:rsidR="00B01A15">
              <w:rPr>
                <w:b/>
                <w:lang w:val="sr-Cyrl-RS"/>
              </w:rPr>
              <w:t xml:space="preserve"> 63</w:t>
            </w:r>
            <w:r w:rsidRPr="006E1A76">
              <w:rPr>
                <w:b/>
                <w:lang w:val="sr-Cyrl-RS"/>
              </w:rPr>
              <w:t>.3</w:t>
            </w:r>
            <w:r w:rsidR="00B01A15">
              <w:rPr>
                <w:b/>
                <w:lang w:val="sr-Cyrl-RS"/>
              </w:rPr>
              <w:t>00</w:t>
            </w:r>
            <w:r w:rsidRPr="006E1A76">
              <w:rPr>
                <w:b/>
                <w:lang w:val="sr-Cyrl-RS"/>
              </w:rPr>
              <w:t>,00 дин</w:t>
            </w:r>
          </w:p>
        </w:tc>
        <w:tc>
          <w:tcPr>
            <w:tcW w:w="3260" w:type="dxa"/>
            <w:vAlign w:val="center"/>
          </w:tcPr>
          <w:p w:rsidR="00F1289C" w:rsidRPr="0086294B" w:rsidRDefault="00F1289C" w:rsidP="00B01A15">
            <w:pPr>
              <w:ind w:right="-108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Депозит: </w:t>
            </w:r>
            <w:r>
              <w:rPr>
                <w:b/>
                <w:lang w:val="sr-Cyrl-RS"/>
              </w:rPr>
              <w:t>1</w:t>
            </w:r>
            <w:r w:rsidR="00B01A15">
              <w:rPr>
                <w:b/>
                <w:lang w:val="sr-Cyrl-RS"/>
              </w:rPr>
              <w:t>2</w:t>
            </w:r>
            <w:r w:rsidRPr="0086294B">
              <w:rPr>
                <w:b/>
                <w:lang w:val="sr-Cyrl-RS"/>
              </w:rPr>
              <w:t>.</w:t>
            </w:r>
            <w:r w:rsidR="00B01A15">
              <w:rPr>
                <w:b/>
                <w:lang w:val="sr-Cyrl-RS"/>
              </w:rPr>
              <w:t>660</w:t>
            </w:r>
            <w:r w:rsidRPr="0086294B">
              <w:rPr>
                <w:b/>
                <w:lang w:val="sr-Cyrl-RS"/>
              </w:rPr>
              <w:t>,</w:t>
            </w:r>
            <w:r>
              <w:rPr>
                <w:b/>
                <w:lang w:val="sr-Cyrl-RS"/>
              </w:rPr>
              <w:t>00</w:t>
            </w:r>
            <w:r w:rsidRPr="0086294B">
              <w:rPr>
                <w:b/>
                <w:lang w:val="sr-Cyrl-RS"/>
              </w:rPr>
              <w:t xml:space="preserve"> дин</w:t>
            </w:r>
          </w:p>
        </w:tc>
      </w:tr>
      <w:tr w:rsidR="00F1289C" w:rsidRPr="006E1A76" w:rsidTr="00790293">
        <w:tc>
          <w:tcPr>
            <w:tcW w:w="9464" w:type="dxa"/>
            <w:gridSpan w:val="3"/>
            <w:vAlign w:val="center"/>
          </w:tcPr>
          <w:p w:rsidR="00F1289C" w:rsidRPr="006D0041" w:rsidRDefault="00F1289C" w:rsidP="00A02AFE">
            <w:pPr>
              <w:pStyle w:val="ListParagraph"/>
              <w:numPr>
                <w:ilvl w:val="0"/>
                <w:numId w:val="3"/>
              </w:numPr>
              <w:ind w:left="175" w:hanging="142"/>
              <w:jc w:val="both"/>
              <w:rPr>
                <w:lang w:val="sr-Cyrl-RS"/>
              </w:rPr>
            </w:pPr>
            <w:r>
              <w:rPr>
                <w:lang w:val="sr-Cyrl-RS"/>
              </w:rPr>
              <w:t>Покретна имовина</w:t>
            </w:r>
            <w:r w:rsidR="006D0041">
              <w:rPr>
                <w:lang w:val="sr-Cyrl-RS"/>
              </w:rPr>
              <w:t xml:space="preserve"> </w:t>
            </w:r>
            <w:r w:rsidR="00A02AFE">
              <w:rPr>
                <w:lang w:val="sr-Cyrl-RS"/>
              </w:rPr>
              <w:t>на 6. Спрату машинске куће (ел. мотори, кабл и неонске светиљке</w:t>
            </w:r>
            <w:r w:rsidR="00B01A15">
              <w:rPr>
                <w:lang w:val="sr-Cyrl-RS"/>
              </w:rPr>
              <w:t>)</w:t>
            </w:r>
          </w:p>
        </w:tc>
      </w:tr>
      <w:tr w:rsidR="00F1289C" w:rsidRPr="006E1A76" w:rsidTr="00EC1BC2">
        <w:trPr>
          <w:trHeight w:val="540"/>
        </w:trPr>
        <w:tc>
          <w:tcPr>
            <w:tcW w:w="2376" w:type="dxa"/>
            <w:vAlign w:val="center"/>
          </w:tcPr>
          <w:p w:rsidR="00F1289C" w:rsidRPr="00EC1BC2" w:rsidRDefault="00F1289C" w:rsidP="00C3750C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Целина </w:t>
            </w:r>
            <w:r w:rsidR="00EC1BC2">
              <w:rPr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828" w:type="dxa"/>
            <w:vAlign w:val="center"/>
          </w:tcPr>
          <w:p w:rsidR="00F1289C" w:rsidRDefault="00F1289C" w:rsidP="00B01A15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Вредност:</w:t>
            </w:r>
            <w:r w:rsidRPr="006E1A76">
              <w:rPr>
                <w:b/>
                <w:lang w:val="sr-Cyrl-RS"/>
              </w:rPr>
              <w:t xml:space="preserve"> </w:t>
            </w:r>
            <w:r w:rsidR="00B01A15">
              <w:rPr>
                <w:b/>
                <w:lang w:val="sr-Cyrl-RS"/>
              </w:rPr>
              <w:t>583</w:t>
            </w:r>
            <w:r w:rsidRPr="006E1A76">
              <w:rPr>
                <w:b/>
                <w:lang w:val="sr-Cyrl-RS"/>
              </w:rPr>
              <w:t>.</w:t>
            </w:r>
            <w:r w:rsidR="00B01A15">
              <w:rPr>
                <w:b/>
                <w:lang w:val="sr-Cyrl-RS"/>
              </w:rPr>
              <w:t>810</w:t>
            </w:r>
            <w:r w:rsidRPr="006E1A76">
              <w:rPr>
                <w:b/>
                <w:lang w:val="sr-Cyrl-RS"/>
              </w:rPr>
              <w:t>,00 дин</w:t>
            </w:r>
          </w:p>
        </w:tc>
        <w:tc>
          <w:tcPr>
            <w:tcW w:w="3260" w:type="dxa"/>
            <w:vAlign w:val="center"/>
          </w:tcPr>
          <w:p w:rsidR="00F1289C" w:rsidRPr="0086294B" w:rsidRDefault="00F1289C" w:rsidP="00B01A15">
            <w:pPr>
              <w:ind w:right="-108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Депозит: </w:t>
            </w:r>
            <w:r w:rsidR="00B01A15">
              <w:rPr>
                <w:b/>
                <w:lang w:val="sr-Cyrl-RS"/>
              </w:rPr>
              <w:t>116</w:t>
            </w:r>
            <w:r w:rsidRPr="0086294B">
              <w:rPr>
                <w:b/>
                <w:lang w:val="sr-Cyrl-RS"/>
              </w:rPr>
              <w:t>.</w:t>
            </w:r>
            <w:r w:rsidR="00B01A15">
              <w:rPr>
                <w:b/>
                <w:lang w:val="sr-Cyrl-RS"/>
              </w:rPr>
              <w:t>762</w:t>
            </w:r>
            <w:r>
              <w:rPr>
                <w:b/>
                <w:lang w:val="sr-Cyrl-RS"/>
              </w:rPr>
              <w:t>,00</w:t>
            </w:r>
            <w:r w:rsidRPr="0086294B">
              <w:rPr>
                <w:b/>
                <w:lang w:val="sr-Cyrl-RS"/>
              </w:rPr>
              <w:t xml:space="preserve"> дин</w:t>
            </w:r>
          </w:p>
        </w:tc>
      </w:tr>
      <w:tr w:rsidR="00F1289C" w:rsidTr="00790293">
        <w:tc>
          <w:tcPr>
            <w:tcW w:w="9464" w:type="dxa"/>
            <w:gridSpan w:val="3"/>
            <w:tcBorders>
              <w:bottom w:val="single" w:sz="4" w:space="0" w:color="auto"/>
            </w:tcBorders>
          </w:tcPr>
          <w:p w:rsidR="00F1289C" w:rsidRPr="00A02AFE" w:rsidRDefault="00A02AFE" w:rsidP="00C3750C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lang w:val="sr-Cyrl-RS"/>
              </w:rPr>
            </w:pPr>
            <w:r w:rsidRPr="00A02AFE">
              <w:rPr>
                <w:lang w:val="sr-Cyrl-RS"/>
              </w:rPr>
              <w:t xml:space="preserve">Покретна имовина у Бору на локацији 7. Јула 62., Бор. Највреднији део имовине </w:t>
            </w:r>
            <w:r w:rsidR="00C03F94">
              <w:rPr>
                <w:lang w:val="sr-Cyrl-RS"/>
              </w:rPr>
              <w:t xml:space="preserve">су </w:t>
            </w:r>
            <w:r w:rsidRPr="00A02AFE">
              <w:rPr>
                <w:lang w:val="sr-Cyrl-RS"/>
              </w:rPr>
              <w:t>расхладни комресори (девастирани):</w:t>
            </w:r>
            <w:r w:rsidR="00F1289C" w:rsidRPr="00A02AFE">
              <w:rPr>
                <w:lang w:val="sr-Cyrl-RS"/>
              </w:rPr>
              <w:t xml:space="preserve"> </w:t>
            </w:r>
            <w:r w:rsidR="006D0041" w:rsidRPr="00A02AFE">
              <w:rPr>
                <w:lang w:val="sr-Cyrl-RS"/>
              </w:rPr>
              <w:tab/>
            </w:r>
            <w:r w:rsidR="00CB348D" w:rsidRPr="00A02AFE">
              <w:rPr>
                <w:lang w:val="sr-Cyrl-RS"/>
              </w:rPr>
              <w:t>РСМ 150Ц</w:t>
            </w:r>
            <w:r w:rsidR="00CB348D" w:rsidRPr="00A02AFE">
              <w:rPr>
                <w:lang w:val="sr-Cyrl-RS"/>
              </w:rPr>
              <w:tab/>
              <w:t>ком 1</w:t>
            </w:r>
          </w:p>
          <w:p w:rsidR="00CB348D" w:rsidRDefault="00CB348D" w:rsidP="00C3750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ab/>
            </w:r>
            <w:r w:rsidR="00A02AFE">
              <w:rPr>
                <w:lang w:val="sr-Cyrl-RS"/>
              </w:rPr>
              <w:tab/>
            </w:r>
            <w:r w:rsidR="00A02AFE">
              <w:rPr>
                <w:lang w:val="sr-Cyrl-RS"/>
              </w:rPr>
              <w:tab/>
            </w:r>
            <w:r>
              <w:rPr>
                <w:lang w:val="sr-Cyrl-RS"/>
              </w:rPr>
              <w:t xml:space="preserve">РСМ 100Ц   </w:t>
            </w:r>
            <w:r>
              <w:rPr>
                <w:lang w:val="sr-Cyrl-RS"/>
              </w:rPr>
              <w:tab/>
              <w:t>ком 1</w:t>
            </w:r>
          </w:p>
          <w:p w:rsidR="00A02AFE" w:rsidRDefault="00A02AFE" w:rsidP="00C3750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Остала имовина према спецификацији у продајној документацији</w:t>
            </w:r>
          </w:p>
        </w:tc>
      </w:tr>
      <w:tr w:rsidR="00F1289C" w:rsidTr="00790293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9C" w:rsidRDefault="00F1289C" w:rsidP="00985A1D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Напомена 1: Сва покретна имовина специфицирана је у пописним листама и приложена као саставни део продајне документације:</w:t>
            </w:r>
          </w:p>
        </w:tc>
      </w:tr>
      <w:tr w:rsidR="00F1289C" w:rsidTr="00790293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9C" w:rsidRDefault="006D0041" w:rsidP="00EC1BC2">
            <w:pPr>
              <w:jc w:val="both"/>
              <w:rPr>
                <w:lang w:val="sr-Cyrl-RS"/>
              </w:rPr>
            </w:pPr>
            <w:r w:rsidRPr="006F4D7B">
              <w:rPr>
                <w:color w:val="000000" w:themeColor="text1"/>
                <w:lang w:val="sr-Cyrl-RS"/>
              </w:rPr>
              <w:t xml:space="preserve">Напомена 2: Непокретности </w:t>
            </w:r>
            <w:r w:rsidR="00F1289C" w:rsidRPr="006F4D7B">
              <w:rPr>
                <w:color w:val="000000" w:themeColor="text1"/>
                <w:lang w:val="sr-Cyrl-RS"/>
              </w:rPr>
              <w:t xml:space="preserve">Објекат уз силос- машинска кућа и Надстрешница уз силос – истоварна рампа функционално су повезани са силосима који су власништву другог правног лица (доо ЈОКОМ Београд). </w:t>
            </w:r>
          </w:p>
        </w:tc>
      </w:tr>
      <w:tr w:rsidR="006D0041" w:rsidTr="00790293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41" w:rsidRDefault="006D0041" w:rsidP="006D0041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Напомена 3: Све непокретности налазе се на градском грађевинском земљишту у државној својини са правом коришћења </w:t>
            </w:r>
          </w:p>
        </w:tc>
      </w:tr>
    </w:tbl>
    <w:p w:rsidR="006634BB" w:rsidRPr="006634BB" w:rsidRDefault="006634BB" w:rsidP="003D1540">
      <w:pPr>
        <w:jc w:val="both"/>
        <w:rPr>
          <w:rFonts w:ascii="Arial" w:hAnsi="Arial" w:cs="Arial"/>
          <w:bCs/>
          <w:lang w:val="sr-Cyrl-RS"/>
        </w:rPr>
      </w:pPr>
    </w:p>
    <w:p w:rsidR="006D0041" w:rsidRDefault="003D1540" w:rsidP="003D1540">
      <w:pPr>
        <w:jc w:val="both"/>
        <w:rPr>
          <w:rFonts w:ascii="Arial" w:hAnsi="Arial" w:cs="Arial"/>
          <w:bCs/>
          <w:lang w:val="sr-Cyrl-CS"/>
        </w:rPr>
      </w:pPr>
      <w:r w:rsidRPr="006634BB">
        <w:rPr>
          <w:rFonts w:ascii="Arial" w:hAnsi="Arial" w:cs="Arial"/>
          <w:bCs/>
          <w:lang w:val="sr-Cyrl-CS"/>
        </w:rPr>
        <w:t>Процењена вредност имовине није минимално прихватљива вредност, нити је на други начин обавезујућа или опредељујућа за понуђача приликом одређивања висине понуде.</w:t>
      </w:r>
      <w:r w:rsidR="006D0041">
        <w:rPr>
          <w:rFonts w:ascii="Arial" w:hAnsi="Arial" w:cs="Arial"/>
          <w:bCs/>
          <w:lang w:val="sr-Cyrl-CS"/>
        </w:rPr>
        <w:t xml:space="preserve"> </w:t>
      </w:r>
      <w:r w:rsidR="00D17EDC">
        <w:rPr>
          <w:rFonts w:ascii="Arial" w:hAnsi="Arial" w:cs="Arial"/>
          <w:bCs/>
          <w:lang w:val="sr-Cyrl-CS"/>
        </w:rPr>
        <w:t xml:space="preserve">У складу са националним стандардом бр 5. </w:t>
      </w:r>
      <w:r w:rsidR="00C03F94">
        <w:rPr>
          <w:rFonts w:ascii="Arial" w:hAnsi="Arial" w:cs="Arial"/>
          <w:bCs/>
          <w:lang w:val="sr-Cyrl-CS"/>
        </w:rPr>
        <w:t>стечајни управник је одредио почетне</w:t>
      </w:r>
      <w:r w:rsidR="00D17EDC">
        <w:rPr>
          <w:rFonts w:ascii="Arial" w:hAnsi="Arial" w:cs="Arial"/>
          <w:bCs/>
          <w:lang w:val="sr-Cyrl-CS"/>
        </w:rPr>
        <w:t xml:space="preserve"> вредност</w:t>
      </w:r>
      <w:r w:rsidR="00C03F94">
        <w:rPr>
          <w:rFonts w:ascii="Arial" w:hAnsi="Arial" w:cs="Arial"/>
          <w:bCs/>
          <w:lang w:val="sr-Cyrl-CS"/>
        </w:rPr>
        <w:t>и</w:t>
      </w:r>
      <w:r w:rsidR="00D17EDC">
        <w:rPr>
          <w:rFonts w:ascii="Arial" w:hAnsi="Arial" w:cs="Arial"/>
          <w:bCs/>
          <w:lang w:val="sr-Cyrl-CS"/>
        </w:rPr>
        <w:t xml:space="preserve"> код јавног надметања</w:t>
      </w:r>
      <w:r w:rsidR="006D0041">
        <w:rPr>
          <w:rFonts w:ascii="Arial" w:hAnsi="Arial" w:cs="Arial"/>
          <w:bCs/>
          <w:lang w:val="sr-Cyrl-CS"/>
        </w:rPr>
        <w:t>:</w:t>
      </w:r>
    </w:p>
    <w:p w:rsidR="006D0041" w:rsidRDefault="006D0041" w:rsidP="003D1540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Целина 1: </w:t>
      </w:r>
      <w:r>
        <w:rPr>
          <w:rFonts w:ascii="Arial" w:hAnsi="Arial" w:cs="Arial"/>
          <w:bCs/>
          <w:lang w:val="sr-Cyrl-CS"/>
        </w:rPr>
        <w:tab/>
      </w:r>
      <w:r w:rsidR="00B01A15">
        <w:rPr>
          <w:rFonts w:ascii="Arial" w:hAnsi="Arial" w:cs="Arial"/>
          <w:bCs/>
          <w:lang w:val="sr-Cyrl-CS"/>
        </w:rPr>
        <w:t>3</w:t>
      </w:r>
      <w:r>
        <w:rPr>
          <w:rFonts w:ascii="Arial" w:hAnsi="Arial" w:cs="Arial"/>
          <w:bCs/>
          <w:lang w:val="sr-Cyrl-CS"/>
        </w:rPr>
        <w:t>.</w:t>
      </w:r>
      <w:r w:rsidR="00B01A15">
        <w:rPr>
          <w:rFonts w:ascii="Arial" w:hAnsi="Arial" w:cs="Arial"/>
          <w:bCs/>
          <w:lang w:val="sr-Cyrl-CS"/>
        </w:rPr>
        <w:t>300</w:t>
      </w:r>
      <w:r>
        <w:rPr>
          <w:rFonts w:ascii="Arial" w:hAnsi="Arial" w:cs="Arial"/>
          <w:bCs/>
          <w:lang w:val="sr-Cyrl-CS"/>
        </w:rPr>
        <w:t>.</w:t>
      </w:r>
      <w:r w:rsidR="00B01A15">
        <w:rPr>
          <w:rFonts w:ascii="Arial" w:hAnsi="Arial" w:cs="Arial"/>
          <w:bCs/>
          <w:lang w:val="sr-Cyrl-CS"/>
        </w:rPr>
        <w:t>000</w:t>
      </w:r>
      <w:r>
        <w:rPr>
          <w:rFonts w:ascii="Arial" w:hAnsi="Arial" w:cs="Arial"/>
          <w:bCs/>
          <w:lang w:val="sr-Cyrl-CS"/>
        </w:rPr>
        <w:t>,</w:t>
      </w:r>
      <w:r w:rsidR="00B01A15">
        <w:rPr>
          <w:rFonts w:ascii="Arial" w:hAnsi="Arial" w:cs="Arial"/>
          <w:bCs/>
          <w:lang w:val="sr-Cyrl-CS"/>
        </w:rPr>
        <w:t>00</w:t>
      </w:r>
      <w:r w:rsidR="00234209">
        <w:rPr>
          <w:rFonts w:ascii="Arial" w:hAnsi="Arial" w:cs="Arial"/>
          <w:bCs/>
          <w:lang w:val="sr-Cyrl-CS"/>
        </w:rPr>
        <w:t xml:space="preserve"> дин</w:t>
      </w:r>
    </w:p>
    <w:p w:rsidR="006D0041" w:rsidRDefault="006D0041" w:rsidP="003D1540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>Целина 2:</w:t>
      </w:r>
      <w:r>
        <w:rPr>
          <w:rFonts w:ascii="Arial" w:hAnsi="Arial" w:cs="Arial"/>
          <w:bCs/>
          <w:lang w:val="sr-Cyrl-CS"/>
        </w:rPr>
        <w:tab/>
      </w:r>
      <w:r w:rsidR="00B01A15">
        <w:rPr>
          <w:rFonts w:ascii="Arial" w:hAnsi="Arial" w:cs="Arial"/>
          <w:bCs/>
          <w:lang w:val="sr-Cyrl-CS"/>
        </w:rPr>
        <w:t>5.7</w:t>
      </w:r>
      <w:r>
        <w:rPr>
          <w:rFonts w:ascii="Arial" w:hAnsi="Arial" w:cs="Arial"/>
          <w:bCs/>
          <w:lang w:val="sr-Cyrl-CS"/>
        </w:rPr>
        <w:t>00.000,00 дин</w:t>
      </w:r>
    </w:p>
    <w:p w:rsidR="003D1540" w:rsidRDefault="006D0041" w:rsidP="003D1540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>Целина 3:</w:t>
      </w:r>
      <w:r>
        <w:rPr>
          <w:rFonts w:ascii="Arial" w:hAnsi="Arial" w:cs="Arial"/>
          <w:bCs/>
          <w:lang w:val="sr-Cyrl-CS"/>
        </w:rPr>
        <w:tab/>
      </w:r>
      <w:r w:rsidR="00B01A15">
        <w:rPr>
          <w:rFonts w:ascii="Arial" w:hAnsi="Arial" w:cs="Arial"/>
          <w:bCs/>
          <w:lang w:val="sr-Cyrl-CS"/>
        </w:rPr>
        <w:t>9.500</w:t>
      </w:r>
      <w:r>
        <w:rPr>
          <w:rFonts w:ascii="Arial" w:hAnsi="Arial" w:cs="Arial"/>
          <w:bCs/>
          <w:lang w:val="sr-Cyrl-CS"/>
        </w:rPr>
        <w:t>.</w:t>
      </w:r>
      <w:r w:rsidR="00B01A15">
        <w:rPr>
          <w:rFonts w:ascii="Arial" w:hAnsi="Arial" w:cs="Arial"/>
          <w:bCs/>
          <w:lang w:val="sr-Cyrl-CS"/>
        </w:rPr>
        <w:t>000</w:t>
      </w:r>
      <w:r>
        <w:rPr>
          <w:rFonts w:ascii="Arial" w:hAnsi="Arial" w:cs="Arial"/>
          <w:bCs/>
          <w:lang w:val="sr-Cyrl-CS"/>
        </w:rPr>
        <w:t>,00 дин</w:t>
      </w:r>
    </w:p>
    <w:p w:rsidR="00B01A15" w:rsidRDefault="00B01A15" w:rsidP="00B01A15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Целина 4: </w:t>
      </w:r>
      <w:r>
        <w:rPr>
          <w:rFonts w:ascii="Arial" w:hAnsi="Arial" w:cs="Arial"/>
          <w:bCs/>
          <w:lang w:val="sr-Cyrl-CS"/>
        </w:rPr>
        <w:tab/>
      </w:r>
      <w:r w:rsidR="00CD7571">
        <w:rPr>
          <w:rFonts w:ascii="Arial" w:hAnsi="Arial" w:cs="Arial"/>
          <w:bCs/>
          <w:lang w:val="sr-Cyrl-CS"/>
        </w:rPr>
        <w:t>3</w:t>
      </w:r>
      <w:r>
        <w:rPr>
          <w:rFonts w:ascii="Arial" w:hAnsi="Arial" w:cs="Arial"/>
          <w:bCs/>
          <w:lang w:val="sr-Cyrl-CS"/>
        </w:rPr>
        <w:t>.</w:t>
      </w:r>
      <w:r w:rsidR="00CD7571">
        <w:rPr>
          <w:rFonts w:ascii="Arial" w:hAnsi="Arial" w:cs="Arial"/>
          <w:bCs/>
          <w:lang w:val="sr-Cyrl-CS"/>
        </w:rPr>
        <w:t>600</w:t>
      </w:r>
      <w:r>
        <w:rPr>
          <w:rFonts w:ascii="Arial" w:hAnsi="Arial" w:cs="Arial"/>
          <w:bCs/>
          <w:lang w:val="sr-Cyrl-CS"/>
        </w:rPr>
        <w:t>.000,00 дин</w:t>
      </w:r>
    </w:p>
    <w:p w:rsidR="00B01A15" w:rsidRDefault="00B01A15" w:rsidP="00B01A15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Целина </w:t>
      </w:r>
      <w:r w:rsidR="00CD7571">
        <w:rPr>
          <w:rFonts w:ascii="Arial" w:hAnsi="Arial" w:cs="Arial"/>
          <w:bCs/>
          <w:lang w:val="sr-Cyrl-CS"/>
        </w:rPr>
        <w:t>5</w:t>
      </w:r>
      <w:r>
        <w:rPr>
          <w:rFonts w:ascii="Arial" w:hAnsi="Arial" w:cs="Arial"/>
          <w:bCs/>
          <w:lang w:val="sr-Cyrl-CS"/>
        </w:rPr>
        <w:t>:</w:t>
      </w:r>
      <w:r>
        <w:rPr>
          <w:rFonts w:ascii="Arial" w:hAnsi="Arial" w:cs="Arial"/>
          <w:bCs/>
          <w:lang w:val="sr-Cyrl-CS"/>
        </w:rPr>
        <w:tab/>
      </w:r>
      <w:r w:rsidR="00CD7571">
        <w:rPr>
          <w:rFonts w:ascii="Arial" w:hAnsi="Arial" w:cs="Arial"/>
          <w:bCs/>
          <w:lang w:val="sr-Cyrl-CS"/>
        </w:rPr>
        <w:t xml:space="preserve">     6</w:t>
      </w:r>
      <w:r>
        <w:rPr>
          <w:rFonts w:ascii="Arial" w:hAnsi="Arial" w:cs="Arial"/>
          <w:bCs/>
          <w:lang w:val="sr-Cyrl-CS"/>
        </w:rPr>
        <w:t>0.000,00 дин</w:t>
      </w:r>
    </w:p>
    <w:p w:rsidR="00B01A15" w:rsidRDefault="00B01A15" w:rsidP="00B01A15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Целина </w:t>
      </w:r>
      <w:r w:rsidR="00CD7571">
        <w:rPr>
          <w:rFonts w:ascii="Arial" w:hAnsi="Arial" w:cs="Arial"/>
          <w:bCs/>
          <w:lang w:val="sr-Cyrl-CS"/>
        </w:rPr>
        <w:t>6</w:t>
      </w:r>
      <w:r>
        <w:rPr>
          <w:rFonts w:ascii="Arial" w:hAnsi="Arial" w:cs="Arial"/>
          <w:bCs/>
          <w:lang w:val="sr-Cyrl-CS"/>
        </w:rPr>
        <w:t>:</w:t>
      </w:r>
      <w:r>
        <w:rPr>
          <w:rFonts w:ascii="Arial" w:hAnsi="Arial" w:cs="Arial"/>
          <w:bCs/>
          <w:lang w:val="sr-Cyrl-CS"/>
        </w:rPr>
        <w:tab/>
      </w:r>
      <w:r w:rsidR="00CD7571">
        <w:rPr>
          <w:rFonts w:ascii="Arial" w:hAnsi="Arial" w:cs="Arial"/>
          <w:bCs/>
          <w:lang w:val="sr-Cyrl-CS"/>
        </w:rPr>
        <w:t xml:space="preserve">   440</w:t>
      </w:r>
      <w:r>
        <w:rPr>
          <w:rFonts w:ascii="Arial" w:hAnsi="Arial" w:cs="Arial"/>
          <w:bCs/>
          <w:lang w:val="sr-Cyrl-CS"/>
        </w:rPr>
        <w:t>.000,00 дин</w:t>
      </w:r>
    </w:p>
    <w:p w:rsidR="00B01A15" w:rsidRPr="006634BB" w:rsidRDefault="00B01A15" w:rsidP="003D1540">
      <w:pPr>
        <w:jc w:val="both"/>
        <w:rPr>
          <w:rFonts w:ascii="Arial" w:hAnsi="Arial" w:cs="Arial"/>
          <w:b/>
          <w:bCs/>
          <w:lang w:val="sr-Cyrl-CS"/>
        </w:rPr>
      </w:pPr>
    </w:p>
    <w:p w:rsidR="003D1540" w:rsidRPr="006634BB" w:rsidRDefault="003D1540" w:rsidP="003D1540">
      <w:pPr>
        <w:spacing w:after="60"/>
        <w:jc w:val="both"/>
        <w:rPr>
          <w:sz w:val="22"/>
          <w:szCs w:val="22"/>
          <w:lang w:val="sr-Cyrl-CS"/>
        </w:rPr>
      </w:pPr>
      <w:r w:rsidRPr="006634BB">
        <w:rPr>
          <w:sz w:val="22"/>
          <w:szCs w:val="22"/>
          <w:lang w:val="sr-Cyrl-CS"/>
        </w:rPr>
        <w:t>Право на учешће у поступку продаје имају сва правна и физичка лица</w:t>
      </w:r>
      <w:r w:rsidRPr="006634BB">
        <w:rPr>
          <w:sz w:val="22"/>
          <w:szCs w:val="22"/>
          <w:lang w:val="ru-RU"/>
        </w:rPr>
        <w:t xml:space="preserve"> </w:t>
      </w:r>
      <w:r w:rsidRPr="006634BB">
        <w:rPr>
          <w:sz w:val="22"/>
          <w:szCs w:val="22"/>
          <w:lang w:val="sr-Cyrl-CS"/>
        </w:rPr>
        <w:t>која:</w:t>
      </w:r>
    </w:p>
    <w:p w:rsidR="003D1540" w:rsidRPr="0081679D" w:rsidRDefault="003D1540" w:rsidP="003D1540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81679D">
        <w:rPr>
          <w:sz w:val="22"/>
          <w:szCs w:val="22"/>
          <w:lang w:val="sr-Cyrl-CS"/>
        </w:rPr>
        <w:t>након добијања профактуре, изврше уплату ради откупа про</w:t>
      </w:r>
      <w:r w:rsidR="00234209" w:rsidRPr="0081679D">
        <w:rPr>
          <w:sz w:val="22"/>
          <w:szCs w:val="22"/>
          <w:lang w:val="sr-Cyrl-CS"/>
        </w:rPr>
        <w:t xml:space="preserve">дајне документације у износу од: </w:t>
      </w:r>
      <w:r w:rsidR="00234209" w:rsidRPr="0081679D">
        <w:rPr>
          <w:b/>
          <w:sz w:val="22"/>
          <w:szCs w:val="22"/>
          <w:lang w:val="sr-Cyrl-CS"/>
        </w:rPr>
        <w:t xml:space="preserve">целина 1 - </w:t>
      </w:r>
      <w:r w:rsidR="00CD7571">
        <w:rPr>
          <w:b/>
          <w:sz w:val="22"/>
          <w:szCs w:val="22"/>
          <w:lang w:val="sr-Cyrl-CS"/>
        </w:rPr>
        <w:t>8</w:t>
      </w:r>
      <w:r w:rsidRPr="0081679D">
        <w:rPr>
          <w:b/>
          <w:sz w:val="22"/>
          <w:szCs w:val="22"/>
          <w:lang w:val="sr-Cyrl-CS"/>
        </w:rPr>
        <w:t>.000,00</w:t>
      </w:r>
      <w:r w:rsidRPr="0081679D">
        <w:rPr>
          <w:sz w:val="22"/>
          <w:szCs w:val="22"/>
          <w:lang w:val="sr-Cyrl-CS"/>
        </w:rPr>
        <w:t xml:space="preserve"> </w:t>
      </w:r>
      <w:r w:rsidRPr="0081679D">
        <w:rPr>
          <w:b/>
          <w:sz w:val="22"/>
          <w:szCs w:val="22"/>
          <w:lang w:val="sr-Cyrl-CS"/>
        </w:rPr>
        <w:t>дин</w:t>
      </w:r>
      <w:r w:rsidR="00234209" w:rsidRPr="0081679D">
        <w:rPr>
          <w:b/>
          <w:sz w:val="22"/>
          <w:szCs w:val="22"/>
          <w:lang w:val="sr-Cyrl-CS"/>
        </w:rPr>
        <w:t xml:space="preserve">; целина 2 – </w:t>
      </w:r>
      <w:r w:rsidR="00CD7571">
        <w:rPr>
          <w:b/>
          <w:sz w:val="22"/>
          <w:szCs w:val="22"/>
          <w:lang w:val="sr-Cyrl-CS"/>
        </w:rPr>
        <w:t>8</w:t>
      </w:r>
      <w:r w:rsidR="00234209" w:rsidRPr="0081679D">
        <w:rPr>
          <w:b/>
          <w:sz w:val="22"/>
          <w:szCs w:val="22"/>
          <w:lang w:val="sr-Cyrl-CS"/>
        </w:rPr>
        <w:t xml:space="preserve">.000 дин; целина 3 – </w:t>
      </w:r>
      <w:r w:rsidR="00CD7571">
        <w:rPr>
          <w:b/>
          <w:sz w:val="22"/>
          <w:szCs w:val="22"/>
          <w:lang w:val="sr-Cyrl-CS"/>
        </w:rPr>
        <w:t>8</w:t>
      </w:r>
      <w:r w:rsidR="00234209" w:rsidRPr="0081679D">
        <w:rPr>
          <w:b/>
          <w:sz w:val="22"/>
          <w:szCs w:val="22"/>
          <w:lang w:val="sr-Cyrl-CS"/>
        </w:rPr>
        <w:t>.000 дин</w:t>
      </w:r>
      <w:r w:rsidR="00CD7571">
        <w:rPr>
          <w:b/>
          <w:sz w:val="22"/>
          <w:szCs w:val="22"/>
          <w:lang w:val="sr-Cyrl-CS"/>
        </w:rPr>
        <w:t xml:space="preserve">; </w:t>
      </w:r>
      <w:r w:rsidR="00CD7571" w:rsidRPr="0081679D">
        <w:rPr>
          <w:b/>
          <w:sz w:val="22"/>
          <w:szCs w:val="22"/>
          <w:lang w:val="sr-Cyrl-CS"/>
        </w:rPr>
        <w:t xml:space="preserve">целина </w:t>
      </w:r>
      <w:r w:rsidR="00CD7571">
        <w:rPr>
          <w:b/>
          <w:sz w:val="22"/>
          <w:szCs w:val="22"/>
          <w:lang w:val="sr-Cyrl-CS"/>
        </w:rPr>
        <w:t>4</w:t>
      </w:r>
      <w:r w:rsidR="00CD7571" w:rsidRPr="0081679D">
        <w:rPr>
          <w:b/>
          <w:sz w:val="22"/>
          <w:szCs w:val="22"/>
          <w:lang w:val="sr-Cyrl-CS"/>
        </w:rPr>
        <w:t xml:space="preserve"> - </w:t>
      </w:r>
      <w:r w:rsidR="00CD7571">
        <w:rPr>
          <w:b/>
          <w:sz w:val="22"/>
          <w:szCs w:val="22"/>
          <w:lang w:val="sr-Cyrl-CS"/>
        </w:rPr>
        <w:t>8</w:t>
      </w:r>
      <w:r w:rsidR="00CD7571" w:rsidRPr="0081679D">
        <w:rPr>
          <w:b/>
          <w:sz w:val="22"/>
          <w:szCs w:val="22"/>
          <w:lang w:val="sr-Cyrl-CS"/>
        </w:rPr>
        <w:t>.000,00</w:t>
      </w:r>
      <w:r w:rsidR="00CD7571" w:rsidRPr="0081679D">
        <w:rPr>
          <w:sz w:val="22"/>
          <w:szCs w:val="22"/>
          <w:lang w:val="sr-Cyrl-CS"/>
        </w:rPr>
        <w:t xml:space="preserve"> </w:t>
      </w:r>
      <w:r w:rsidR="00CD7571" w:rsidRPr="0081679D">
        <w:rPr>
          <w:b/>
          <w:sz w:val="22"/>
          <w:szCs w:val="22"/>
          <w:lang w:val="sr-Cyrl-CS"/>
        </w:rPr>
        <w:t xml:space="preserve">дин; целина </w:t>
      </w:r>
      <w:r w:rsidR="00CD7571">
        <w:rPr>
          <w:b/>
          <w:sz w:val="22"/>
          <w:szCs w:val="22"/>
          <w:lang w:val="sr-Cyrl-CS"/>
        </w:rPr>
        <w:t>5</w:t>
      </w:r>
      <w:r w:rsidR="00CD7571" w:rsidRPr="0081679D">
        <w:rPr>
          <w:b/>
          <w:sz w:val="22"/>
          <w:szCs w:val="22"/>
          <w:lang w:val="sr-Cyrl-CS"/>
        </w:rPr>
        <w:t xml:space="preserve"> – </w:t>
      </w:r>
      <w:r w:rsidR="00CD7571">
        <w:rPr>
          <w:b/>
          <w:sz w:val="22"/>
          <w:szCs w:val="22"/>
          <w:lang w:val="sr-Cyrl-CS"/>
        </w:rPr>
        <w:t>1</w:t>
      </w:r>
      <w:r w:rsidR="00CD7571" w:rsidRPr="0081679D">
        <w:rPr>
          <w:b/>
          <w:sz w:val="22"/>
          <w:szCs w:val="22"/>
          <w:lang w:val="sr-Cyrl-CS"/>
        </w:rPr>
        <w:t>.</w:t>
      </w:r>
      <w:r w:rsidR="00CD7571">
        <w:rPr>
          <w:b/>
          <w:sz w:val="22"/>
          <w:szCs w:val="22"/>
          <w:lang w:val="sr-Cyrl-CS"/>
        </w:rPr>
        <w:t>5</w:t>
      </w:r>
      <w:r w:rsidR="00CD7571" w:rsidRPr="0081679D">
        <w:rPr>
          <w:b/>
          <w:sz w:val="22"/>
          <w:szCs w:val="22"/>
          <w:lang w:val="sr-Cyrl-CS"/>
        </w:rPr>
        <w:t xml:space="preserve">00 дин; целина </w:t>
      </w:r>
      <w:r w:rsidR="00CD7571">
        <w:rPr>
          <w:b/>
          <w:sz w:val="22"/>
          <w:szCs w:val="22"/>
          <w:lang w:val="sr-Cyrl-CS"/>
        </w:rPr>
        <w:t>6</w:t>
      </w:r>
      <w:r w:rsidR="00CD7571" w:rsidRPr="0081679D">
        <w:rPr>
          <w:b/>
          <w:sz w:val="22"/>
          <w:szCs w:val="22"/>
          <w:lang w:val="sr-Cyrl-CS"/>
        </w:rPr>
        <w:t xml:space="preserve"> – </w:t>
      </w:r>
      <w:r w:rsidR="00CD7571">
        <w:rPr>
          <w:b/>
          <w:sz w:val="22"/>
          <w:szCs w:val="22"/>
          <w:lang w:val="sr-Cyrl-CS"/>
        </w:rPr>
        <w:t>4</w:t>
      </w:r>
      <w:r w:rsidR="00CD7571" w:rsidRPr="0081679D">
        <w:rPr>
          <w:b/>
          <w:sz w:val="22"/>
          <w:szCs w:val="22"/>
          <w:lang w:val="sr-Cyrl-CS"/>
        </w:rPr>
        <w:t>.000 дин</w:t>
      </w:r>
      <w:r w:rsidR="00F436E1" w:rsidRPr="0081679D">
        <w:rPr>
          <w:b/>
          <w:sz w:val="22"/>
          <w:szCs w:val="22"/>
          <w:lang w:val="sr-Cyrl-CS"/>
        </w:rPr>
        <w:t xml:space="preserve"> </w:t>
      </w:r>
      <w:r w:rsidR="00F436E1" w:rsidRPr="0081679D">
        <w:rPr>
          <w:sz w:val="22"/>
          <w:szCs w:val="22"/>
          <w:lang w:val="sr-Cyrl-CS"/>
        </w:rPr>
        <w:t xml:space="preserve">на текући рачун стечајног дужника број: </w:t>
      </w:r>
      <w:r w:rsidR="00F436E1" w:rsidRPr="0081679D">
        <w:rPr>
          <w:b/>
          <w:sz w:val="22"/>
          <w:szCs w:val="22"/>
          <w:lang w:val="sr-Cyrl-CS"/>
        </w:rPr>
        <w:t>160-</w:t>
      </w:r>
      <w:r w:rsidR="00234209" w:rsidRPr="0081679D">
        <w:rPr>
          <w:b/>
          <w:sz w:val="22"/>
          <w:szCs w:val="22"/>
          <w:lang w:val="sr-Cyrl-CS"/>
        </w:rPr>
        <w:t>387884</w:t>
      </w:r>
      <w:r w:rsidR="00F436E1" w:rsidRPr="0081679D">
        <w:rPr>
          <w:b/>
          <w:sz w:val="22"/>
          <w:szCs w:val="22"/>
          <w:lang w:val="sr-Cyrl-CS"/>
        </w:rPr>
        <w:t>-</w:t>
      </w:r>
      <w:r w:rsidR="00234209" w:rsidRPr="0081679D">
        <w:rPr>
          <w:b/>
          <w:sz w:val="22"/>
          <w:szCs w:val="22"/>
          <w:lang w:val="sr-Cyrl-CS"/>
        </w:rPr>
        <w:t>36</w:t>
      </w:r>
      <w:r w:rsidR="00F436E1" w:rsidRPr="0081679D">
        <w:rPr>
          <w:b/>
          <w:sz w:val="22"/>
          <w:szCs w:val="22"/>
          <w:lang w:val="sr-Cyrl-CS"/>
        </w:rPr>
        <w:t xml:space="preserve"> </w:t>
      </w:r>
      <w:r w:rsidR="00F436E1" w:rsidRPr="0081679D">
        <w:rPr>
          <w:sz w:val="22"/>
          <w:szCs w:val="22"/>
          <w:lang w:val="sr-Cyrl-CS"/>
        </w:rPr>
        <w:t>који се води код</w:t>
      </w:r>
      <w:r w:rsidR="00F436E1" w:rsidRPr="0081679D">
        <w:rPr>
          <w:b/>
          <w:sz w:val="22"/>
          <w:szCs w:val="22"/>
          <w:lang w:val="sr-Cyrl-CS"/>
        </w:rPr>
        <w:t xml:space="preserve"> „</w:t>
      </w:r>
      <w:r w:rsidR="00F436E1" w:rsidRPr="0081679D">
        <w:rPr>
          <w:b/>
          <w:sz w:val="22"/>
          <w:szCs w:val="22"/>
          <w:lang w:val="sr-Latn-RS"/>
        </w:rPr>
        <w:t>Banca Intesa</w:t>
      </w:r>
      <w:r w:rsidR="00F436E1" w:rsidRPr="0081679D">
        <w:rPr>
          <w:b/>
          <w:sz w:val="22"/>
          <w:szCs w:val="22"/>
          <w:lang w:val="sr-Cyrl-CS"/>
        </w:rPr>
        <w:t>“ филијала Зајечар</w:t>
      </w:r>
      <w:r w:rsidRPr="0081679D">
        <w:rPr>
          <w:b/>
          <w:sz w:val="22"/>
          <w:szCs w:val="22"/>
          <w:lang w:val="sr-Cyrl-CS"/>
        </w:rPr>
        <w:t xml:space="preserve">. </w:t>
      </w:r>
      <w:r w:rsidRPr="0081679D">
        <w:rPr>
          <w:sz w:val="22"/>
          <w:szCs w:val="22"/>
          <w:lang w:val="sr-Cyrl-CS"/>
        </w:rPr>
        <w:t xml:space="preserve">Профактура се може преузети сваког радног дана до </w:t>
      </w:r>
      <w:r w:rsidR="00CD7571" w:rsidRPr="00CD7571">
        <w:rPr>
          <w:b/>
          <w:color w:val="FF0000"/>
          <w:sz w:val="22"/>
          <w:szCs w:val="22"/>
          <w:lang w:val="sr-Cyrl-CS"/>
        </w:rPr>
        <w:t>06</w:t>
      </w:r>
      <w:r w:rsidRPr="00CD7571">
        <w:rPr>
          <w:b/>
          <w:color w:val="FF0000"/>
          <w:sz w:val="22"/>
          <w:szCs w:val="22"/>
        </w:rPr>
        <w:t>.</w:t>
      </w:r>
      <w:r w:rsidR="00234209" w:rsidRPr="001F229C">
        <w:rPr>
          <w:b/>
          <w:color w:val="FF0000"/>
          <w:sz w:val="22"/>
          <w:szCs w:val="22"/>
          <w:lang w:val="sr-Cyrl-RS"/>
        </w:rPr>
        <w:t>1</w:t>
      </w:r>
      <w:r w:rsidR="00CD7571">
        <w:rPr>
          <w:b/>
          <w:color w:val="FF0000"/>
          <w:sz w:val="22"/>
          <w:szCs w:val="22"/>
          <w:lang w:val="sr-Cyrl-RS"/>
        </w:rPr>
        <w:t>0</w:t>
      </w:r>
      <w:r w:rsidRPr="001F229C">
        <w:rPr>
          <w:b/>
          <w:color w:val="FF0000"/>
          <w:sz w:val="22"/>
          <w:szCs w:val="22"/>
          <w:lang w:val="sr-Cyrl-CS"/>
        </w:rPr>
        <w:t>.201</w:t>
      </w:r>
      <w:r w:rsidR="00CD7571">
        <w:rPr>
          <w:b/>
          <w:color w:val="FF0000"/>
          <w:sz w:val="22"/>
          <w:szCs w:val="22"/>
          <w:lang w:val="sr-Cyrl-CS"/>
        </w:rPr>
        <w:t>5</w:t>
      </w:r>
      <w:r w:rsidRPr="001F229C">
        <w:rPr>
          <w:b/>
          <w:color w:val="FF0000"/>
          <w:sz w:val="22"/>
          <w:szCs w:val="22"/>
          <w:lang w:val="sr-Cyrl-CS"/>
        </w:rPr>
        <w:t xml:space="preserve">. </w:t>
      </w:r>
      <w:r w:rsidRPr="0081679D">
        <w:rPr>
          <w:b/>
          <w:sz w:val="22"/>
          <w:szCs w:val="22"/>
          <w:lang w:val="sr-Cyrl-CS"/>
        </w:rPr>
        <w:t>године</w:t>
      </w:r>
      <w:r w:rsidRPr="0081679D">
        <w:rPr>
          <w:sz w:val="22"/>
          <w:szCs w:val="22"/>
          <w:lang w:val="sr-Cyrl-CS"/>
        </w:rPr>
        <w:t xml:space="preserve"> у периоду од </w:t>
      </w:r>
      <w:r w:rsidRPr="0081679D">
        <w:rPr>
          <w:sz w:val="22"/>
          <w:szCs w:val="22"/>
          <w:lang w:val="sr-Latn-CS"/>
        </w:rPr>
        <w:t>9:00</w:t>
      </w:r>
      <w:r w:rsidRPr="0081679D">
        <w:rPr>
          <w:sz w:val="22"/>
          <w:szCs w:val="22"/>
          <w:lang w:val="sr-Cyrl-CS"/>
        </w:rPr>
        <w:t xml:space="preserve"> до </w:t>
      </w:r>
      <w:r w:rsidRPr="0081679D">
        <w:rPr>
          <w:sz w:val="22"/>
          <w:szCs w:val="22"/>
          <w:lang w:val="sr-Latn-CS"/>
        </w:rPr>
        <w:t>16:00</w:t>
      </w:r>
      <w:r w:rsidRPr="0081679D">
        <w:rPr>
          <w:sz w:val="22"/>
          <w:szCs w:val="22"/>
          <w:lang w:val="sr-Cyrl-CS"/>
        </w:rPr>
        <w:t xml:space="preserve"> часова у просторијама стечајног дужника, уз претходну најаву на телефон </w:t>
      </w:r>
      <w:r w:rsidR="008535FE" w:rsidRPr="0081679D">
        <w:rPr>
          <w:sz w:val="22"/>
          <w:szCs w:val="22"/>
          <w:lang w:val="sr-Cyrl-CS"/>
        </w:rPr>
        <w:t>стечајног управника</w:t>
      </w:r>
      <w:r w:rsidRPr="0081679D">
        <w:rPr>
          <w:sz w:val="22"/>
          <w:szCs w:val="22"/>
          <w:lang w:val="sr-Cyrl-CS"/>
        </w:rPr>
        <w:t xml:space="preserve"> Саше Симића број 064/820-19-23. </w:t>
      </w:r>
    </w:p>
    <w:p w:rsidR="003D1540" w:rsidRPr="006634BB" w:rsidRDefault="003D1540" w:rsidP="00C2121E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6634BB">
        <w:rPr>
          <w:sz w:val="22"/>
          <w:szCs w:val="22"/>
          <w:lang w:val="sr-Cyrl-CS"/>
        </w:rPr>
        <w:t xml:space="preserve">уплате </w:t>
      </w:r>
      <w:r w:rsidRPr="006634BB">
        <w:rPr>
          <w:b/>
          <w:sz w:val="22"/>
          <w:szCs w:val="22"/>
          <w:lang w:val="sr-Cyrl-CS"/>
        </w:rPr>
        <w:t>депозит</w:t>
      </w:r>
      <w:r w:rsidRPr="006634BB">
        <w:rPr>
          <w:sz w:val="22"/>
          <w:szCs w:val="22"/>
          <w:lang w:val="sr-Cyrl-CS"/>
        </w:rPr>
        <w:t xml:space="preserve"> у износу </w:t>
      </w:r>
      <w:r w:rsidR="0081679D">
        <w:rPr>
          <w:sz w:val="22"/>
          <w:szCs w:val="22"/>
          <w:lang w:val="sr-Cyrl-CS"/>
        </w:rPr>
        <w:t>наведеном у табели</w:t>
      </w:r>
      <w:r w:rsidRPr="006634BB">
        <w:rPr>
          <w:sz w:val="22"/>
          <w:szCs w:val="22"/>
          <w:lang w:val="sr-Cyrl-CS"/>
        </w:rPr>
        <w:t xml:space="preserve"> на текући рачун стечајног дужника број: </w:t>
      </w:r>
      <w:r w:rsidR="0081679D" w:rsidRPr="0081679D">
        <w:rPr>
          <w:b/>
          <w:sz w:val="22"/>
          <w:szCs w:val="22"/>
          <w:lang w:val="sr-Cyrl-CS"/>
        </w:rPr>
        <w:t xml:space="preserve">160-387884-36 </w:t>
      </w:r>
      <w:r w:rsidRPr="006634BB">
        <w:rPr>
          <w:b/>
          <w:sz w:val="22"/>
          <w:szCs w:val="22"/>
          <w:lang w:val="sr-Cyrl-CS"/>
        </w:rPr>
        <w:t xml:space="preserve"> који се води код „</w:t>
      </w:r>
      <w:r w:rsidR="008535FE" w:rsidRPr="006634BB">
        <w:rPr>
          <w:b/>
          <w:sz w:val="22"/>
          <w:szCs w:val="22"/>
          <w:lang w:val="sr-Latn-RS"/>
        </w:rPr>
        <w:t>Banca Intesa</w:t>
      </w:r>
      <w:r w:rsidRPr="006634BB">
        <w:rPr>
          <w:b/>
          <w:sz w:val="22"/>
          <w:szCs w:val="22"/>
          <w:lang w:val="sr-Cyrl-CS"/>
        </w:rPr>
        <w:t>“ филијала Зајечар</w:t>
      </w:r>
      <w:r w:rsidR="0081679D">
        <w:rPr>
          <w:b/>
          <w:sz w:val="22"/>
          <w:szCs w:val="22"/>
          <w:lang w:val="sr-Cyrl-CS"/>
        </w:rPr>
        <w:t xml:space="preserve">, </w:t>
      </w:r>
      <w:r w:rsidR="0081679D">
        <w:rPr>
          <w:sz w:val="22"/>
          <w:szCs w:val="22"/>
          <w:lang w:val="sr-Cyrl-CS"/>
        </w:rPr>
        <w:t xml:space="preserve">или положе неопозиву првокласну банкарску гаранцију наплативу на први позив најкасније 5 дана </w:t>
      </w:r>
      <w:r w:rsidR="001F229C">
        <w:rPr>
          <w:sz w:val="22"/>
          <w:szCs w:val="22"/>
          <w:lang w:val="sr-Cyrl-CS"/>
        </w:rPr>
        <w:t>пре одржавања продаје (рок за уплату депозита је до</w:t>
      </w:r>
      <w:r w:rsidRPr="006634BB">
        <w:rPr>
          <w:sz w:val="22"/>
          <w:szCs w:val="22"/>
          <w:lang w:val="sr-Cyrl-CS"/>
        </w:rPr>
        <w:t xml:space="preserve"> </w:t>
      </w:r>
      <w:r w:rsidR="00CD7571" w:rsidRPr="00CD7571">
        <w:rPr>
          <w:b/>
          <w:color w:val="FF0000"/>
          <w:sz w:val="22"/>
          <w:szCs w:val="22"/>
          <w:lang w:val="sr-Cyrl-CS"/>
        </w:rPr>
        <w:t>06</w:t>
      </w:r>
      <w:r w:rsidR="00CD7571" w:rsidRPr="00CD7571">
        <w:rPr>
          <w:b/>
          <w:color w:val="FF0000"/>
          <w:sz w:val="22"/>
          <w:szCs w:val="22"/>
        </w:rPr>
        <w:t>.</w:t>
      </w:r>
      <w:r w:rsidR="00CD7571" w:rsidRPr="001F229C">
        <w:rPr>
          <w:b/>
          <w:color w:val="FF0000"/>
          <w:sz w:val="22"/>
          <w:szCs w:val="22"/>
          <w:lang w:val="sr-Cyrl-RS"/>
        </w:rPr>
        <w:t>1</w:t>
      </w:r>
      <w:r w:rsidR="00CD7571">
        <w:rPr>
          <w:b/>
          <w:color w:val="FF0000"/>
          <w:sz w:val="22"/>
          <w:szCs w:val="22"/>
          <w:lang w:val="sr-Cyrl-RS"/>
        </w:rPr>
        <w:t>0</w:t>
      </w:r>
      <w:r w:rsidR="00CD7571" w:rsidRPr="001F229C">
        <w:rPr>
          <w:b/>
          <w:color w:val="FF0000"/>
          <w:sz w:val="22"/>
          <w:szCs w:val="22"/>
          <w:lang w:val="sr-Cyrl-CS"/>
        </w:rPr>
        <w:t>.201</w:t>
      </w:r>
      <w:r w:rsidR="00CD7571">
        <w:rPr>
          <w:b/>
          <w:color w:val="FF0000"/>
          <w:sz w:val="22"/>
          <w:szCs w:val="22"/>
          <w:lang w:val="sr-Cyrl-CS"/>
        </w:rPr>
        <w:t>5</w:t>
      </w:r>
      <w:r w:rsidR="00CD7571" w:rsidRPr="001F229C">
        <w:rPr>
          <w:b/>
          <w:color w:val="FF0000"/>
          <w:sz w:val="22"/>
          <w:szCs w:val="22"/>
          <w:lang w:val="sr-Cyrl-CS"/>
        </w:rPr>
        <w:t xml:space="preserve">. </w:t>
      </w:r>
      <w:r w:rsidR="001F229C" w:rsidRPr="001F229C">
        <w:rPr>
          <w:b/>
          <w:sz w:val="22"/>
          <w:szCs w:val="22"/>
          <w:lang w:val="sr-Cyrl-CS"/>
        </w:rPr>
        <w:t xml:space="preserve">У случају да се као депозит положи првокласна банкарска гаранција, оригинал исте се доставља стечајном управнику (искључиво лично) најкасније до </w:t>
      </w:r>
      <w:r w:rsidR="00CD7571" w:rsidRPr="00CD7571">
        <w:rPr>
          <w:b/>
          <w:color w:val="FF0000"/>
          <w:sz w:val="22"/>
          <w:szCs w:val="22"/>
          <w:lang w:val="sr-Cyrl-CS"/>
        </w:rPr>
        <w:t>0</w:t>
      </w:r>
      <w:r w:rsidR="00CD7571">
        <w:rPr>
          <w:b/>
          <w:color w:val="FF0000"/>
          <w:sz w:val="22"/>
          <w:szCs w:val="22"/>
          <w:lang w:val="sr-Cyrl-CS"/>
        </w:rPr>
        <w:t>5</w:t>
      </w:r>
      <w:r w:rsidR="00CD7571" w:rsidRPr="00CD7571">
        <w:rPr>
          <w:b/>
          <w:color w:val="FF0000"/>
          <w:sz w:val="22"/>
          <w:szCs w:val="22"/>
        </w:rPr>
        <w:t>.</w:t>
      </w:r>
      <w:r w:rsidR="00CD7571" w:rsidRPr="001F229C">
        <w:rPr>
          <w:b/>
          <w:color w:val="FF0000"/>
          <w:sz w:val="22"/>
          <w:szCs w:val="22"/>
          <w:lang w:val="sr-Cyrl-RS"/>
        </w:rPr>
        <w:t>1</w:t>
      </w:r>
      <w:r w:rsidR="00CD7571">
        <w:rPr>
          <w:b/>
          <w:color w:val="FF0000"/>
          <w:sz w:val="22"/>
          <w:szCs w:val="22"/>
          <w:lang w:val="sr-Cyrl-RS"/>
        </w:rPr>
        <w:t>0</w:t>
      </w:r>
      <w:r w:rsidR="00CD7571" w:rsidRPr="001F229C">
        <w:rPr>
          <w:b/>
          <w:color w:val="FF0000"/>
          <w:sz w:val="22"/>
          <w:szCs w:val="22"/>
          <w:lang w:val="sr-Cyrl-CS"/>
        </w:rPr>
        <w:t>.201</w:t>
      </w:r>
      <w:r w:rsidR="00CD7571">
        <w:rPr>
          <w:b/>
          <w:color w:val="FF0000"/>
          <w:sz w:val="22"/>
          <w:szCs w:val="22"/>
          <w:lang w:val="sr-Cyrl-CS"/>
        </w:rPr>
        <w:t>5</w:t>
      </w:r>
      <w:r w:rsidR="00CD7571" w:rsidRPr="001F229C">
        <w:rPr>
          <w:b/>
          <w:color w:val="FF0000"/>
          <w:sz w:val="22"/>
          <w:szCs w:val="22"/>
          <w:lang w:val="sr-Cyrl-CS"/>
        </w:rPr>
        <w:t>.</w:t>
      </w:r>
    </w:p>
    <w:p w:rsidR="003D1540" w:rsidRPr="006634BB" w:rsidRDefault="003D1540" w:rsidP="003D1540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6634BB">
        <w:rPr>
          <w:sz w:val="22"/>
          <w:szCs w:val="22"/>
          <w:lang w:val="sr-Cyrl-CS"/>
        </w:rPr>
        <w:t>потпишу изјаву о губитку права на повраћај депозита. Изјава чини саставни део продајне документације;</w:t>
      </w:r>
    </w:p>
    <w:p w:rsidR="00546D3D" w:rsidRPr="006634BB" w:rsidRDefault="00546D3D" w:rsidP="003D1540">
      <w:pPr>
        <w:jc w:val="both"/>
        <w:rPr>
          <w:sz w:val="22"/>
          <w:szCs w:val="22"/>
          <w:lang w:val="sr-Cyrl-CS"/>
        </w:rPr>
      </w:pPr>
    </w:p>
    <w:p w:rsidR="003D1540" w:rsidRPr="006634BB" w:rsidRDefault="003D1540" w:rsidP="003D1540">
      <w:pPr>
        <w:jc w:val="both"/>
        <w:rPr>
          <w:sz w:val="22"/>
          <w:szCs w:val="22"/>
          <w:lang w:val="sr-Cyrl-CS"/>
        </w:rPr>
      </w:pPr>
      <w:r w:rsidRPr="006634BB">
        <w:rPr>
          <w:sz w:val="22"/>
          <w:szCs w:val="22"/>
          <w:lang w:val="sr-Cyrl-CS"/>
        </w:rPr>
        <w:t xml:space="preserve">Имовина се купује у виђеном стању и може се разгледати након откупа продајне документације, </w:t>
      </w:r>
      <w:r w:rsidRPr="006634BB">
        <w:rPr>
          <w:sz w:val="22"/>
          <w:szCs w:val="22"/>
          <w:lang w:val="ru-RU"/>
        </w:rPr>
        <w:t xml:space="preserve">сваким радним даном од </w:t>
      </w:r>
      <w:r w:rsidRPr="006634BB">
        <w:rPr>
          <w:b/>
          <w:sz w:val="22"/>
          <w:szCs w:val="22"/>
          <w:lang w:val="ru-RU"/>
        </w:rPr>
        <w:t>9:00 до 16:00  часова</w:t>
      </w:r>
      <w:r w:rsidRPr="006634BB">
        <w:rPr>
          <w:sz w:val="22"/>
          <w:szCs w:val="22"/>
          <w:lang w:val="ru-RU"/>
        </w:rPr>
        <w:t xml:space="preserve">, </w:t>
      </w:r>
      <w:r w:rsidRPr="006634BB">
        <w:rPr>
          <w:sz w:val="22"/>
          <w:szCs w:val="22"/>
          <w:lang w:val="sr-Cyrl-CS"/>
        </w:rPr>
        <w:t xml:space="preserve">а најкасније </w:t>
      </w:r>
      <w:r w:rsidR="001F229C" w:rsidRPr="001F229C">
        <w:rPr>
          <w:b/>
          <w:sz w:val="22"/>
          <w:szCs w:val="22"/>
          <w:lang w:val="sr-Cyrl-CS"/>
        </w:rPr>
        <w:t>5</w:t>
      </w:r>
      <w:r w:rsidRPr="001F229C">
        <w:rPr>
          <w:b/>
          <w:sz w:val="22"/>
          <w:szCs w:val="22"/>
          <w:lang w:val="sr-Latn-CS"/>
        </w:rPr>
        <w:t xml:space="preserve"> </w:t>
      </w:r>
      <w:r w:rsidRPr="001F229C">
        <w:rPr>
          <w:b/>
          <w:sz w:val="22"/>
          <w:szCs w:val="22"/>
          <w:lang w:val="sr-Cyrl-CS"/>
        </w:rPr>
        <w:t>дана</w:t>
      </w:r>
      <w:r w:rsidRPr="006634BB">
        <w:rPr>
          <w:sz w:val="22"/>
          <w:szCs w:val="22"/>
          <w:lang w:val="sr-Cyrl-CS"/>
        </w:rPr>
        <w:t xml:space="preserve"> пре заказане продаје, односно до </w:t>
      </w:r>
      <w:r w:rsidR="00CD7571" w:rsidRPr="00CD7571">
        <w:rPr>
          <w:b/>
          <w:color w:val="FF0000"/>
          <w:sz w:val="22"/>
          <w:szCs w:val="22"/>
          <w:lang w:val="sr-Cyrl-CS"/>
        </w:rPr>
        <w:t>06</w:t>
      </w:r>
      <w:r w:rsidR="00CD7571" w:rsidRPr="00CD7571">
        <w:rPr>
          <w:b/>
          <w:color w:val="FF0000"/>
          <w:sz w:val="22"/>
          <w:szCs w:val="22"/>
        </w:rPr>
        <w:t>.</w:t>
      </w:r>
      <w:r w:rsidR="00CD7571" w:rsidRPr="001F229C">
        <w:rPr>
          <w:b/>
          <w:color w:val="FF0000"/>
          <w:sz w:val="22"/>
          <w:szCs w:val="22"/>
          <w:lang w:val="sr-Cyrl-RS"/>
        </w:rPr>
        <w:t>1</w:t>
      </w:r>
      <w:r w:rsidR="00CD7571">
        <w:rPr>
          <w:b/>
          <w:color w:val="FF0000"/>
          <w:sz w:val="22"/>
          <w:szCs w:val="22"/>
          <w:lang w:val="sr-Cyrl-RS"/>
        </w:rPr>
        <w:t>0</w:t>
      </w:r>
      <w:r w:rsidR="00CD7571" w:rsidRPr="001F229C">
        <w:rPr>
          <w:b/>
          <w:color w:val="FF0000"/>
          <w:sz w:val="22"/>
          <w:szCs w:val="22"/>
          <w:lang w:val="sr-Cyrl-CS"/>
        </w:rPr>
        <w:t>.201</w:t>
      </w:r>
      <w:r w:rsidR="00CD7571">
        <w:rPr>
          <w:b/>
          <w:color w:val="FF0000"/>
          <w:sz w:val="22"/>
          <w:szCs w:val="22"/>
          <w:lang w:val="sr-Cyrl-CS"/>
        </w:rPr>
        <w:t>5</w:t>
      </w:r>
      <w:r w:rsidR="00CD7571" w:rsidRPr="001F229C">
        <w:rPr>
          <w:b/>
          <w:color w:val="FF0000"/>
          <w:sz w:val="22"/>
          <w:szCs w:val="22"/>
          <w:lang w:val="sr-Cyrl-CS"/>
        </w:rPr>
        <w:t xml:space="preserve">. </w:t>
      </w:r>
      <w:r w:rsidRPr="006634BB">
        <w:rPr>
          <w:sz w:val="22"/>
          <w:szCs w:val="22"/>
          <w:lang w:val="ru-RU"/>
        </w:rPr>
        <w:t xml:space="preserve">(уз претходну најаву </w:t>
      </w:r>
      <w:r w:rsidRPr="006634BB">
        <w:rPr>
          <w:sz w:val="22"/>
          <w:szCs w:val="22"/>
          <w:lang w:val="sr-Cyrl-CS"/>
        </w:rPr>
        <w:t>стечајно</w:t>
      </w:r>
      <w:r w:rsidR="005912C7" w:rsidRPr="006634BB">
        <w:rPr>
          <w:sz w:val="22"/>
          <w:szCs w:val="22"/>
          <w:lang w:val="sr-Cyrl-CS"/>
        </w:rPr>
        <w:t>м</w:t>
      </w:r>
      <w:r w:rsidRPr="006634BB">
        <w:rPr>
          <w:sz w:val="22"/>
          <w:szCs w:val="22"/>
          <w:lang w:val="sr-Cyrl-CS"/>
        </w:rPr>
        <w:t xml:space="preserve"> управник</w:t>
      </w:r>
      <w:r w:rsidR="005912C7" w:rsidRPr="006634BB">
        <w:rPr>
          <w:sz w:val="22"/>
          <w:szCs w:val="22"/>
          <w:lang w:val="sr-Cyrl-CS"/>
        </w:rPr>
        <w:t>у</w:t>
      </w:r>
      <w:r w:rsidRPr="006634BB">
        <w:rPr>
          <w:sz w:val="22"/>
          <w:szCs w:val="22"/>
          <w:lang w:val="sr-Cyrl-CS"/>
        </w:rPr>
        <w:t>).</w:t>
      </w:r>
    </w:p>
    <w:p w:rsidR="003D1540" w:rsidRPr="006634BB" w:rsidRDefault="003D1540" w:rsidP="003D1540">
      <w:pPr>
        <w:jc w:val="both"/>
        <w:rPr>
          <w:sz w:val="22"/>
          <w:szCs w:val="22"/>
          <w:lang w:val="sr-Cyrl-BA"/>
        </w:rPr>
      </w:pPr>
      <w:r w:rsidRPr="006634BB">
        <w:rPr>
          <w:sz w:val="22"/>
          <w:szCs w:val="22"/>
          <w:lang w:val="sr-Cyrl-CS"/>
        </w:rPr>
        <w:t xml:space="preserve">Након уплате депозита, а најкасније до </w:t>
      </w:r>
      <w:r w:rsidR="00CD7571" w:rsidRPr="00CD7571">
        <w:rPr>
          <w:b/>
          <w:color w:val="FF0000"/>
          <w:sz w:val="22"/>
          <w:szCs w:val="22"/>
          <w:lang w:val="sr-Cyrl-CS"/>
        </w:rPr>
        <w:t>06</w:t>
      </w:r>
      <w:r w:rsidR="00CD7571" w:rsidRPr="00CD7571">
        <w:rPr>
          <w:b/>
          <w:color w:val="FF0000"/>
          <w:sz w:val="22"/>
          <w:szCs w:val="22"/>
        </w:rPr>
        <w:t>.</w:t>
      </w:r>
      <w:r w:rsidR="00CD7571" w:rsidRPr="001F229C">
        <w:rPr>
          <w:b/>
          <w:color w:val="FF0000"/>
          <w:sz w:val="22"/>
          <w:szCs w:val="22"/>
          <w:lang w:val="sr-Cyrl-RS"/>
        </w:rPr>
        <w:t>1</w:t>
      </w:r>
      <w:r w:rsidR="00CD7571">
        <w:rPr>
          <w:b/>
          <w:color w:val="FF0000"/>
          <w:sz w:val="22"/>
          <w:szCs w:val="22"/>
          <w:lang w:val="sr-Cyrl-RS"/>
        </w:rPr>
        <w:t>0</w:t>
      </w:r>
      <w:r w:rsidR="00CD7571" w:rsidRPr="001F229C">
        <w:rPr>
          <w:b/>
          <w:color w:val="FF0000"/>
          <w:sz w:val="22"/>
          <w:szCs w:val="22"/>
          <w:lang w:val="sr-Cyrl-CS"/>
        </w:rPr>
        <w:t>.201</w:t>
      </w:r>
      <w:r w:rsidR="00CD7571">
        <w:rPr>
          <w:b/>
          <w:color w:val="FF0000"/>
          <w:sz w:val="22"/>
          <w:szCs w:val="22"/>
          <w:lang w:val="sr-Cyrl-CS"/>
        </w:rPr>
        <w:t>5</w:t>
      </w:r>
      <w:r w:rsidR="00CD7571" w:rsidRPr="001F229C">
        <w:rPr>
          <w:b/>
          <w:color w:val="FF0000"/>
          <w:sz w:val="22"/>
          <w:szCs w:val="22"/>
          <w:lang w:val="sr-Cyrl-CS"/>
        </w:rPr>
        <w:t>.</w:t>
      </w:r>
      <w:r w:rsidRPr="006634BB">
        <w:rPr>
          <w:sz w:val="22"/>
          <w:szCs w:val="22"/>
          <w:lang w:val="sr-Cyrl-CS"/>
        </w:rPr>
        <w:t>, потенцијални купци, ради правоврем</w:t>
      </w:r>
      <w:r w:rsidR="00C2121E" w:rsidRPr="006634BB">
        <w:rPr>
          <w:sz w:val="22"/>
          <w:szCs w:val="22"/>
          <w:lang w:val="sr-Cyrl-CS"/>
        </w:rPr>
        <w:t xml:space="preserve">ене евиденције, морају предати </w:t>
      </w:r>
      <w:r w:rsidR="00C2121E" w:rsidRPr="006634BB">
        <w:rPr>
          <w:sz w:val="22"/>
          <w:szCs w:val="22"/>
          <w:lang w:val="sr-Cyrl-RS"/>
        </w:rPr>
        <w:t xml:space="preserve">стечајном управнику </w:t>
      </w:r>
      <w:r w:rsidRPr="006634BB">
        <w:rPr>
          <w:sz w:val="22"/>
          <w:szCs w:val="22"/>
          <w:lang w:val="sr-Cyrl-BA"/>
        </w:rPr>
        <w:t xml:space="preserve">попуњен </w:t>
      </w:r>
      <w:r w:rsidRPr="006634BB">
        <w:rPr>
          <w:sz w:val="22"/>
          <w:szCs w:val="22"/>
          <w:lang w:val="sr-Cyrl-CS"/>
        </w:rPr>
        <w:t>образац пријаве за учешће</w:t>
      </w:r>
      <w:r w:rsidRPr="006634BB">
        <w:rPr>
          <w:sz w:val="22"/>
          <w:szCs w:val="22"/>
          <w:lang w:val="sr-Cyrl-BA"/>
        </w:rPr>
        <w:t xml:space="preserve"> на јавном надметању, доказ о уплати депозита, потписану изјаву о губитку права на повраћај депозита, </w:t>
      </w:r>
      <w:r w:rsidRPr="006634BB">
        <w:rPr>
          <w:sz w:val="22"/>
          <w:szCs w:val="22"/>
          <w:lang w:val="sr-Cyrl-CS"/>
        </w:rPr>
        <w:t>извод из регистра привредних субјеката и ОП образац (ако се као потенцијални купац пријављује правно лице)</w:t>
      </w:r>
      <w:r w:rsidRPr="006634BB">
        <w:rPr>
          <w:sz w:val="22"/>
          <w:szCs w:val="22"/>
          <w:lang w:val="sr-Cyrl-BA"/>
        </w:rPr>
        <w:t>, овлашћење за заступање</w:t>
      </w:r>
      <w:r w:rsidRPr="006634BB">
        <w:rPr>
          <w:sz w:val="22"/>
          <w:szCs w:val="22"/>
          <w:lang w:val="sr-Cyrl-CS"/>
        </w:rPr>
        <w:t xml:space="preserve"> (оверено у суду)</w:t>
      </w:r>
      <w:r w:rsidRPr="006634BB">
        <w:rPr>
          <w:sz w:val="22"/>
          <w:szCs w:val="22"/>
          <w:lang w:val="sr-Cyrl-BA"/>
        </w:rPr>
        <w:t>, уколико јавном надметању не присуствује потенцијални купац лично (за физичка лица) или законски заступник (за правна лица)</w:t>
      </w:r>
    </w:p>
    <w:p w:rsidR="003D1540" w:rsidRPr="006634BB" w:rsidRDefault="003D1540" w:rsidP="003D1540">
      <w:pPr>
        <w:jc w:val="both"/>
        <w:rPr>
          <w:sz w:val="22"/>
          <w:szCs w:val="22"/>
          <w:lang w:val="ru-RU"/>
        </w:rPr>
      </w:pPr>
    </w:p>
    <w:p w:rsidR="003D1540" w:rsidRDefault="003D1540" w:rsidP="003D1540">
      <w:pPr>
        <w:jc w:val="both"/>
        <w:rPr>
          <w:b/>
          <w:sz w:val="22"/>
          <w:szCs w:val="22"/>
          <w:lang w:val="sr-Cyrl-CS"/>
        </w:rPr>
      </w:pPr>
      <w:r w:rsidRPr="006634BB">
        <w:rPr>
          <w:b/>
          <w:sz w:val="22"/>
          <w:szCs w:val="22"/>
          <w:lang w:val="sr-Cyrl-CS"/>
        </w:rPr>
        <w:lastRenderedPageBreak/>
        <w:t>Јавно надметање</w:t>
      </w:r>
      <w:r w:rsidRPr="006634BB">
        <w:rPr>
          <w:sz w:val="22"/>
          <w:szCs w:val="22"/>
          <w:lang w:val="sr-Cyrl-CS"/>
        </w:rPr>
        <w:t xml:space="preserve"> одржаће се дана </w:t>
      </w:r>
      <w:r w:rsidR="00CD7571">
        <w:rPr>
          <w:b/>
          <w:color w:val="FF0000"/>
          <w:sz w:val="22"/>
          <w:szCs w:val="22"/>
          <w:lang w:val="sr-Cyrl-CS"/>
        </w:rPr>
        <w:t>12</w:t>
      </w:r>
      <w:r w:rsidR="00CD7571" w:rsidRPr="00CD7571">
        <w:rPr>
          <w:b/>
          <w:color w:val="FF0000"/>
          <w:sz w:val="22"/>
          <w:szCs w:val="22"/>
        </w:rPr>
        <w:t>.</w:t>
      </w:r>
      <w:r w:rsidR="00CD7571" w:rsidRPr="001F229C">
        <w:rPr>
          <w:b/>
          <w:color w:val="FF0000"/>
          <w:sz w:val="22"/>
          <w:szCs w:val="22"/>
          <w:lang w:val="sr-Cyrl-RS"/>
        </w:rPr>
        <w:t>1</w:t>
      </w:r>
      <w:r w:rsidR="00CD7571">
        <w:rPr>
          <w:b/>
          <w:color w:val="FF0000"/>
          <w:sz w:val="22"/>
          <w:szCs w:val="22"/>
          <w:lang w:val="sr-Cyrl-RS"/>
        </w:rPr>
        <w:t>0</w:t>
      </w:r>
      <w:r w:rsidR="00CD7571" w:rsidRPr="001F229C">
        <w:rPr>
          <w:b/>
          <w:color w:val="FF0000"/>
          <w:sz w:val="22"/>
          <w:szCs w:val="22"/>
          <w:lang w:val="sr-Cyrl-CS"/>
        </w:rPr>
        <w:t>.201</w:t>
      </w:r>
      <w:r w:rsidR="00CD7571">
        <w:rPr>
          <w:b/>
          <w:color w:val="FF0000"/>
          <w:sz w:val="22"/>
          <w:szCs w:val="22"/>
          <w:lang w:val="sr-Cyrl-CS"/>
        </w:rPr>
        <w:t>5</w:t>
      </w:r>
      <w:r w:rsidR="00CD7571" w:rsidRPr="001F229C">
        <w:rPr>
          <w:b/>
          <w:color w:val="FF0000"/>
          <w:sz w:val="22"/>
          <w:szCs w:val="22"/>
          <w:lang w:val="sr-Cyrl-CS"/>
        </w:rPr>
        <w:t>.</w:t>
      </w:r>
      <w:r w:rsidRPr="006634BB">
        <w:rPr>
          <w:b/>
          <w:sz w:val="22"/>
          <w:szCs w:val="22"/>
          <w:lang w:val="sr-Cyrl-CS"/>
        </w:rPr>
        <w:t xml:space="preserve"> у 1</w:t>
      </w:r>
      <w:r w:rsidR="00546D3D" w:rsidRPr="006634BB">
        <w:rPr>
          <w:b/>
          <w:sz w:val="22"/>
          <w:szCs w:val="22"/>
          <w:lang w:val="sr-Cyrl-CS"/>
        </w:rPr>
        <w:t>2</w:t>
      </w:r>
      <w:r w:rsidRPr="006634BB">
        <w:rPr>
          <w:b/>
          <w:sz w:val="22"/>
          <w:szCs w:val="22"/>
          <w:lang w:val="sr-Cyrl-CS"/>
        </w:rPr>
        <w:t>:00 часова</w:t>
      </w:r>
      <w:r w:rsidRPr="006634BB">
        <w:rPr>
          <w:sz w:val="22"/>
          <w:szCs w:val="22"/>
          <w:lang w:val="sr-Cyrl-CS"/>
        </w:rPr>
        <w:t xml:space="preserve"> на следећој адреси: </w:t>
      </w:r>
      <w:r w:rsidR="004C78F7">
        <w:rPr>
          <w:b/>
          <w:sz w:val="22"/>
          <w:szCs w:val="22"/>
          <w:lang w:val="sr-Cyrl-CS"/>
        </w:rPr>
        <w:t>Лоле Рибара 24</w:t>
      </w:r>
      <w:r w:rsidRPr="006634BB">
        <w:rPr>
          <w:b/>
          <w:sz w:val="22"/>
          <w:szCs w:val="22"/>
          <w:lang w:val="sr-Cyrl-CS"/>
        </w:rPr>
        <w:t xml:space="preserve">, </w:t>
      </w:r>
      <w:r w:rsidR="00932DC0" w:rsidRPr="006634BB">
        <w:rPr>
          <w:b/>
          <w:sz w:val="22"/>
          <w:szCs w:val="22"/>
          <w:lang w:val="sr-Cyrl-CS"/>
        </w:rPr>
        <w:t>Књажевац</w:t>
      </w:r>
      <w:r w:rsidR="004C78F7">
        <w:rPr>
          <w:b/>
          <w:sz w:val="22"/>
          <w:szCs w:val="22"/>
          <w:lang w:val="sr-Cyrl-CS"/>
        </w:rPr>
        <w:t xml:space="preserve"> </w:t>
      </w:r>
      <w:r w:rsidR="004C78F7">
        <w:rPr>
          <w:sz w:val="22"/>
          <w:szCs w:val="22"/>
          <w:lang w:val="sr-Cyrl-CS"/>
        </w:rPr>
        <w:t>у присуству комисије формиране одлуком стечајног управника</w:t>
      </w:r>
      <w:r w:rsidRPr="006634BB">
        <w:rPr>
          <w:b/>
          <w:sz w:val="22"/>
          <w:szCs w:val="22"/>
          <w:lang w:val="sr-Cyrl-CS"/>
        </w:rPr>
        <w:t>.</w:t>
      </w:r>
      <w:r w:rsidRPr="006634BB">
        <w:rPr>
          <w:b/>
          <w:sz w:val="22"/>
          <w:szCs w:val="22"/>
          <w:lang w:val="ru-RU"/>
        </w:rPr>
        <w:t xml:space="preserve"> </w:t>
      </w:r>
      <w:r w:rsidR="00CD7571" w:rsidRPr="00CD7571">
        <w:rPr>
          <w:sz w:val="22"/>
          <w:szCs w:val="22"/>
          <w:lang w:val="ru-RU"/>
        </w:rPr>
        <w:t>П</w:t>
      </w:r>
      <w:r w:rsidR="004C78F7">
        <w:rPr>
          <w:sz w:val="22"/>
          <w:szCs w:val="22"/>
          <w:lang w:val="ru-RU"/>
        </w:rPr>
        <w:t xml:space="preserve">отребно је да </w:t>
      </w:r>
      <w:r w:rsidR="00CD7571">
        <w:rPr>
          <w:sz w:val="22"/>
          <w:szCs w:val="22"/>
          <w:lang w:val="ru-RU"/>
        </w:rPr>
        <w:t>учесници јавног надметања</w:t>
      </w:r>
      <w:r w:rsidR="004C78F7">
        <w:rPr>
          <w:sz w:val="22"/>
          <w:szCs w:val="22"/>
          <w:lang w:val="ru-RU"/>
        </w:rPr>
        <w:t xml:space="preserve"> поседуј</w:t>
      </w:r>
      <w:r w:rsidR="00CD7571">
        <w:rPr>
          <w:sz w:val="22"/>
          <w:szCs w:val="22"/>
          <w:lang w:val="ru-RU"/>
        </w:rPr>
        <w:t>у и пруже</w:t>
      </w:r>
      <w:r w:rsidR="004C78F7">
        <w:rPr>
          <w:sz w:val="22"/>
          <w:szCs w:val="22"/>
          <w:lang w:val="ru-RU"/>
        </w:rPr>
        <w:t xml:space="preserve"> на увид доказ о идентитету (важећа лична карта или пасош). У случају да понуђача заступа овлашћено лице потребно је да исто лице приложи оригинал пуномоћја за заступање на јавном надметању</w:t>
      </w:r>
      <w:r w:rsidR="00CD7571">
        <w:rPr>
          <w:sz w:val="22"/>
          <w:szCs w:val="22"/>
          <w:lang w:val="ru-RU"/>
        </w:rPr>
        <w:t>.</w:t>
      </w:r>
      <w:r w:rsidR="004C78F7">
        <w:rPr>
          <w:b/>
          <w:sz w:val="22"/>
          <w:szCs w:val="22"/>
          <w:lang w:val="ru-RU"/>
        </w:rPr>
        <w:t xml:space="preserve"> </w:t>
      </w:r>
      <w:r w:rsidRPr="006634BB">
        <w:rPr>
          <w:b/>
          <w:sz w:val="22"/>
          <w:szCs w:val="22"/>
          <w:lang w:val="sr-Cyrl-CS"/>
        </w:rPr>
        <w:t>Регистрација учесника</w:t>
      </w:r>
      <w:r w:rsidRPr="006634BB">
        <w:rPr>
          <w:sz w:val="22"/>
          <w:szCs w:val="22"/>
          <w:lang w:val="sr-Cyrl-CS"/>
        </w:rPr>
        <w:t xml:space="preserve"> почиње два сата пре почетка јавног надметања а завршава се 10 минута пре почетка јавног надметања, односно у периоду од </w:t>
      </w:r>
      <w:r w:rsidR="00546D3D" w:rsidRPr="006634BB">
        <w:rPr>
          <w:b/>
          <w:sz w:val="22"/>
          <w:szCs w:val="22"/>
          <w:lang w:val="sr-Cyrl-RS"/>
        </w:rPr>
        <w:t>10</w:t>
      </w:r>
      <w:r w:rsidRPr="006634BB">
        <w:rPr>
          <w:b/>
          <w:sz w:val="22"/>
          <w:szCs w:val="22"/>
          <w:lang w:val="sr-Latn-CS"/>
        </w:rPr>
        <w:t>:00</w:t>
      </w:r>
      <w:r w:rsidRPr="006634BB">
        <w:rPr>
          <w:sz w:val="22"/>
          <w:szCs w:val="22"/>
          <w:lang w:val="sr-Latn-CS"/>
        </w:rPr>
        <w:t xml:space="preserve"> </w:t>
      </w:r>
      <w:r w:rsidRPr="006634BB">
        <w:rPr>
          <w:sz w:val="22"/>
          <w:szCs w:val="22"/>
          <w:lang w:val="sr-Cyrl-CS"/>
        </w:rPr>
        <w:t xml:space="preserve">до </w:t>
      </w:r>
      <w:r w:rsidRPr="006634BB">
        <w:rPr>
          <w:b/>
          <w:sz w:val="22"/>
          <w:szCs w:val="22"/>
          <w:lang w:val="sr-Cyrl-CS"/>
        </w:rPr>
        <w:t>1</w:t>
      </w:r>
      <w:r w:rsidR="00546D3D" w:rsidRPr="006634BB">
        <w:rPr>
          <w:b/>
          <w:sz w:val="22"/>
          <w:szCs w:val="22"/>
          <w:lang w:val="sr-Cyrl-CS"/>
        </w:rPr>
        <w:t>1</w:t>
      </w:r>
      <w:r w:rsidRPr="006634BB">
        <w:rPr>
          <w:b/>
          <w:sz w:val="22"/>
          <w:szCs w:val="22"/>
          <w:lang w:val="sr-Cyrl-CS"/>
        </w:rPr>
        <w:t>:50</w:t>
      </w:r>
      <w:r w:rsidRPr="006634BB">
        <w:rPr>
          <w:sz w:val="22"/>
          <w:szCs w:val="22"/>
          <w:lang w:val="sr-Cyrl-CS"/>
        </w:rPr>
        <w:t xml:space="preserve"> часова, на истој адреси</w:t>
      </w:r>
      <w:r w:rsidRPr="006634BB">
        <w:rPr>
          <w:b/>
          <w:sz w:val="22"/>
          <w:szCs w:val="22"/>
          <w:lang w:val="sr-Cyrl-CS"/>
        </w:rPr>
        <w:t>.</w:t>
      </w:r>
    </w:p>
    <w:p w:rsidR="00D4084D" w:rsidRDefault="00D4084D" w:rsidP="003D1540">
      <w:pPr>
        <w:jc w:val="both"/>
        <w:rPr>
          <w:b/>
          <w:sz w:val="22"/>
          <w:szCs w:val="22"/>
          <w:lang w:val="sr-Cyrl-CS"/>
        </w:rPr>
      </w:pPr>
    </w:p>
    <w:p w:rsidR="00D4084D" w:rsidRPr="00D4084D" w:rsidRDefault="00D4084D" w:rsidP="003D1540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Позивају се сви чланови одбора поверилаца да присуствују отварању понуда</w:t>
      </w:r>
    </w:p>
    <w:p w:rsidR="003D1540" w:rsidRPr="006634BB" w:rsidRDefault="003D1540" w:rsidP="003D1540">
      <w:pPr>
        <w:pStyle w:val="BodyText"/>
        <w:rPr>
          <w:color w:val="auto"/>
          <w:sz w:val="22"/>
          <w:szCs w:val="22"/>
        </w:rPr>
      </w:pPr>
    </w:p>
    <w:p w:rsidR="003D1540" w:rsidRPr="006634BB" w:rsidRDefault="003D1540" w:rsidP="003D1540">
      <w:pPr>
        <w:jc w:val="both"/>
        <w:rPr>
          <w:sz w:val="22"/>
          <w:szCs w:val="22"/>
          <w:lang w:val="sr-Cyrl-CS"/>
        </w:rPr>
      </w:pPr>
      <w:r w:rsidRPr="006634BB">
        <w:rPr>
          <w:sz w:val="22"/>
          <w:szCs w:val="22"/>
          <w:lang w:val="sr-Cyrl-CS"/>
        </w:rPr>
        <w:t>Стечајни управник спроводи јавно надметање тако што:</w:t>
      </w:r>
    </w:p>
    <w:p w:rsidR="003D1540" w:rsidRPr="006634BB" w:rsidRDefault="003D1540" w:rsidP="003D1540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6634BB">
        <w:rPr>
          <w:sz w:val="22"/>
          <w:szCs w:val="22"/>
          <w:lang w:val="sr-Cyrl-CS"/>
        </w:rPr>
        <w:t>региструје лица која имају право учешћа на јавном надметању (имају овлашћења или су лично присутна);</w:t>
      </w:r>
    </w:p>
    <w:p w:rsidR="003D1540" w:rsidRPr="006634BB" w:rsidRDefault="003D1540" w:rsidP="003D1540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6634BB">
        <w:rPr>
          <w:sz w:val="22"/>
          <w:szCs w:val="22"/>
          <w:lang w:val="sr-Cyrl-CS"/>
        </w:rPr>
        <w:t>отвара јавно надметање читајући правила надметања;</w:t>
      </w:r>
    </w:p>
    <w:p w:rsidR="003D1540" w:rsidRPr="006634BB" w:rsidRDefault="003D1540" w:rsidP="003D1540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6634BB">
        <w:rPr>
          <w:sz w:val="22"/>
          <w:szCs w:val="22"/>
          <w:lang w:val="sr-Cyrl-CS"/>
        </w:rPr>
        <w:t>позива учеснике да прихвате понуђену цену према унапред утврђеним корацима увећања;</w:t>
      </w:r>
    </w:p>
    <w:p w:rsidR="003D1540" w:rsidRPr="006634BB" w:rsidRDefault="003D1540" w:rsidP="003D1540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6634BB">
        <w:rPr>
          <w:sz w:val="22"/>
          <w:szCs w:val="22"/>
          <w:lang w:val="sr-Cyrl-CS"/>
        </w:rPr>
        <w:t>одржава ред на јавном надметању;</w:t>
      </w:r>
    </w:p>
    <w:p w:rsidR="003D1540" w:rsidRPr="006634BB" w:rsidRDefault="003D1540" w:rsidP="003D1540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6634BB">
        <w:rPr>
          <w:sz w:val="22"/>
          <w:szCs w:val="22"/>
          <w:lang w:val="sr-Cyrl-CS"/>
        </w:rPr>
        <w:t xml:space="preserve">проглашава за купца учесника који је прихватио највишу понуђену цену </w:t>
      </w:r>
    </w:p>
    <w:p w:rsidR="003D1540" w:rsidRPr="006634BB" w:rsidRDefault="003D1540" w:rsidP="003D1540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6634BB">
        <w:rPr>
          <w:sz w:val="22"/>
          <w:szCs w:val="22"/>
          <w:lang w:val="sr-Cyrl-CS"/>
        </w:rPr>
        <w:t>потписује записник.</w:t>
      </w:r>
    </w:p>
    <w:p w:rsidR="003D1540" w:rsidRPr="006634BB" w:rsidRDefault="003D1540" w:rsidP="003D1540">
      <w:pPr>
        <w:jc w:val="both"/>
        <w:rPr>
          <w:sz w:val="22"/>
          <w:szCs w:val="22"/>
          <w:lang w:val="sr-Cyrl-CS"/>
        </w:rPr>
      </w:pPr>
    </w:p>
    <w:p w:rsidR="003D1540" w:rsidRPr="006634BB" w:rsidRDefault="003D1540" w:rsidP="003D1540">
      <w:pPr>
        <w:pStyle w:val="ListParagraph"/>
        <w:ind w:left="0"/>
        <w:jc w:val="both"/>
        <w:rPr>
          <w:sz w:val="22"/>
          <w:szCs w:val="22"/>
          <w:lang w:val="sr-Cyrl-CS"/>
        </w:rPr>
      </w:pPr>
      <w:r w:rsidRPr="006634BB">
        <w:rPr>
          <w:sz w:val="22"/>
          <w:szCs w:val="22"/>
          <w:lang w:val="sr-Cyrl-CS"/>
        </w:rPr>
        <w:t xml:space="preserve">Купопродајни уговор се потписује у року од </w:t>
      </w:r>
      <w:r w:rsidR="00CD7571" w:rsidRPr="00CD7571">
        <w:rPr>
          <w:b/>
          <w:sz w:val="22"/>
          <w:szCs w:val="22"/>
          <w:lang w:val="sr-Cyrl-CS"/>
        </w:rPr>
        <w:t>8</w:t>
      </w:r>
      <w:r w:rsidRPr="006634BB">
        <w:rPr>
          <w:b/>
          <w:sz w:val="22"/>
          <w:szCs w:val="22"/>
          <w:lang w:val="sr-Cyrl-CS"/>
        </w:rPr>
        <w:t xml:space="preserve"> радн</w:t>
      </w:r>
      <w:r w:rsidR="00CD7571">
        <w:rPr>
          <w:b/>
          <w:sz w:val="22"/>
          <w:szCs w:val="22"/>
          <w:lang w:val="sr-Cyrl-CS"/>
        </w:rPr>
        <w:t>их</w:t>
      </w:r>
      <w:r w:rsidRPr="006634BB">
        <w:rPr>
          <w:b/>
          <w:sz w:val="22"/>
          <w:szCs w:val="22"/>
          <w:lang w:val="sr-Cyrl-CS"/>
        </w:rPr>
        <w:t xml:space="preserve"> дана</w:t>
      </w:r>
      <w:r w:rsidRPr="006634BB">
        <w:rPr>
          <w:sz w:val="22"/>
          <w:szCs w:val="22"/>
          <w:lang w:val="sr-Cyrl-CS"/>
        </w:rPr>
        <w:t xml:space="preserve"> од </w:t>
      </w:r>
      <w:r w:rsidR="00C2121E" w:rsidRPr="006634BB">
        <w:rPr>
          <w:sz w:val="22"/>
          <w:szCs w:val="22"/>
          <w:lang w:val="sr-Cyrl-CS"/>
        </w:rPr>
        <w:t>дана одржавања јавног надметања</w:t>
      </w:r>
      <w:r w:rsidR="00D4084D">
        <w:rPr>
          <w:sz w:val="22"/>
          <w:szCs w:val="22"/>
          <w:lang w:val="sr-Cyrl-CS"/>
        </w:rPr>
        <w:t xml:space="preserve"> под условом да је депозит који је обезбеђен гаранцијом уплаћен на рачун стечајног дужника</w:t>
      </w:r>
      <w:r w:rsidR="00C2121E" w:rsidRPr="006634BB">
        <w:rPr>
          <w:sz w:val="22"/>
          <w:szCs w:val="22"/>
          <w:lang w:val="sr-Cyrl-CS"/>
        </w:rPr>
        <w:t>.</w:t>
      </w:r>
      <w:r w:rsidR="00D4084D">
        <w:rPr>
          <w:sz w:val="22"/>
          <w:szCs w:val="22"/>
          <w:lang w:val="sr-Cyrl-CS"/>
        </w:rPr>
        <w:t xml:space="preserve"> </w:t>
      </w:r>
      <w:r w:rsidRPr="006634BB">
        <w:rPr>
          <w:sz w:val="22"/>
          <w:szCs w:val="22"/>
          <w:lang w:val="sr-Cyrl-CS"/>
        </w:rPr>
        <w:t xml:space="preserve"> Проглашени Купац је дужан да уплати преостали износ купопродајне цене у року од </w:t>
      </w:r>
      <w:r w:rsidR="00D4084D" w:rsidRPr="00D4084D">
        <w:rPr>
          <w:b/>
          <w:sz w:val="22"/>
          <w:szCs w:val="22"/>
          <w:lang w:val="sr-Cyrl-CS"/>
        </w:rPr>
        <w:t>15</w:t>
      </w:r>
      <w:r w:rsidRPr="006634BB">
        <w:rPr>
          <w:b/>
          <w:sz w:val="22"/>
          <w:szCs w:val="22"/>
          <w:lang w:val="ru-RU"/>
        </w:rPr>
        <w:t xml:space="preserve"> </w:t>
      </w:r>
      <w:r w:rsidRPr="006634BB">
        <w:rPr>
          <w:b/>
          <w:sz w:val="22"/>
          <w:szCs w:val="22"/>
          <w:lang w:val="sr-Cyrl-CS"/>
        </w:rPr>
        <w:t>дана</w:t>
      </w:r>
      <w:r w:rsidRPr="006634BB">
        <w:rPr>
          <w:sz w:val="22"/>
          <w:szCs w:val="22"/>
          <w:lang w:val="sr-Cyrl-CS"/>
        </w:rPr>
        <w:t xml:space="preserve"> од дана потписивања купопродајног уговора. Ако проглашени купац не закључи купопродајни уговор, или не уплати купопродајну цену у прописаним роковима и по прописаној процедури, губи право на повраћај депозита, а за купца се проглашава други најбољи понуђач. Други најбољи понуђач има иста права и обавезе као проглашени купац. У конкретном случају, купопродајни уговор потписује се у року од 3 радна дана од пријема обавештења којим се други најбољи понуђач проглашава за купца.</w:t>
      </w:r>
    </w:p>
    <w:p w:rsidR="003D1540" w:rsidRPr="006634BB" w:rsidRDefault="003D1540" w:rsidP="003D1540">
      <w:pPr>
        <w:jc w:val="both"/>
        <w:rPr>
          <w:sz w:val="22"/>
          <w:szCs w:val="22"/>
          <w:lang w:val="ru-RU"/>
        </w:rPr>
      </w:pPr>
    </w:p>
    <w:p w:rsidR="003D1540" w:rsidRPr="006634BB" w:rsidRDefault="003D1540" w:rsidP="003D1540">
      <w:pPr>
        <w:jc w:val="both"/>
        <w:rPr>
          <w:sz w:val="22"/>
          <w:szCs w:val="22"/>
          <w:lang w:val="sr-Cyrl-CS"/>
        </w:rPr>
      </w:pPr>
      <w:r w:rsidRPr="006634BB">
        <w:rPr>
          <w:sz w:val="22"/>
          <w:szCs w:val="22"/>
          <w:lang w:val="sr-Cyrl-CS"/>
        </w:rPr>
        <w:t xml:space="preserve">Учесницима који на јавном надметању нису стекли статус купца или другог најбољег понуђача, депозит се враћа у року од </w:t>
      </w:r>
      <w:r w:rsidRPr="00D4084D">
        <w:rPr>
          <w:b/>
          <w:sz w:val="22"/>
          <w:szCs w:val="22"/>
          <w:lang w:val="sr-Cyrl-CS"/>
        </w:rPr>
        <w:t>8 дана</w:t>
      </w:r>
      <w:r w:rsidRPr="006634BB">
        <w:rPr>
          <w:sz w:val="22"/>
          <w:szCs w:val="22"/>
          <w:lang w:val="sr-Cyrl-CS"/>
        </w:rPr>
        <w:t xml:space="preserve"> од дана јавног надметања. Уплатилац депозита губи право на повраћај депозита у складу са Изјавом о губитку права на повраћај депозита.</w:t>
      </w:r>
    </w:p>
    <w:p w:rsidR="003D1540" w:rsidRPr="006634BB" w:rsidRDefault="003D1540" w:rsidP="003D1540">
      <w:pPr>
        <w:jc w:val="both"/>
        <w:rPr>
          <w:sz w:val="22"/>
          <w:szCs w:val="22"/>
          <w:lang w:val="sr-Cyrl-CS"/>
        </w:rPr>
      </w:pPr>
    </w:p>
    <w:p w:rsidR="003D1540" w:rsidRPr="006634BB" w:rsidRDefault="003D1540" w:rsidP="001B323B">
      <w:pPr>
        <w:jc w:val="both"/>
        <w:rPr>
          <w:sz w:val="22"/>
          <w:szCs w:val="22"/>
          <w:lang w:val="sr-Latn-CS"/>
        </w:rPr>
      </w:pPr>
      <w:r w:rsidRPr="006634BB">
        <w:rPr>
          <w:sz w:val="22"/>
          <w:szCs w:val="22"/>
          <w:lang w:val="sr-Cyrl-CS"/>
        </w:rPr>
        <w:t>У случају да за купца у поступку продаје буде проглашено правно или физичко лице које подлеже обавези подношења пријаве концентрације, сходно одредабама одредбама Закона о заштити конкуренције („</w:t>
      </w:r>
      <w:r w:rsidRPr="006634BB">
        <w:rPr>
          <w:i/>
          <w:sz w:val="22"/>
          <w:szCs w:val="22"/>
          <w:lang w:val="sr-Cyrl-CS"/>
        </w:rPr>
        <w:t>Сл. гласник РС</w:t>
      </w:r>
      <w:r w:rsidRPr="006634BB">
        <w:rPr>
          <w:sz w:val="22"/>
          <w:szCs w:val="22"/>
          <w:lang w:val="sr-Cyrl-CS"/>
        </w:rPr>
        <w:t>“</w:t>
      </w:r>
      <w:r w:rsidRPr="006634BB">
        <w:rPr>
          <w:sz w:val="22"/>
          <w:szCs w:val="22"/>
          <w:lang w:val="sr-Latn-CS"/>
        </w:rPr>
        <w:t>,</w:t>
      </w:r>
      <w:r w:rsidRPr="006634BB">
        <w:rPr>
          <w:sz w:val="22"/>
          <w:szCs w:val="22"/>
          <w:lang w:val="sr-Cyrl-CS"/>
        </w:rPr>
        <w:t xml:space="preserve"> бр. 51/2009), услови и рокови закључења уговора биће прилагођени роковима одлучивања Комисије за заштиту конкуренције. У наведеном случају проглашеном купцу депозит ће бити задржан до доношења одлуке Комисије за заштиту конкуренције. Другом најповољнијем понуђачу депозит </w:t>
      </w:r>
      <w:r w:rsidR="00E901FE" w:rsidRPr="006634BB">
        <w:rPr>
          <w:sz w:val="22"/>
          <w:szCs w:val="22"/>
          <w:lang w:val="sr-Cyrl-CS"/>
        </w:rPr>
        <w:t>ће бити задржан</w:t>
      </w:r>
      <w:r w:rsidRPr="006634BB">
        <w:rPr>
          <w:sz w:val="22"/>
          <w:szCs w:val="22"/>
          <w:lang w:val="sr-Cyrl-CS"/>
        </w:rPr>
        <w:t xml:space="preserve"> до доношења одлуке Комисије за заштиту конкуренције по поднетој пријави купца.</w:t>
      </w:r>
      <w:r w:rsidR="00D4084D">
        <w:rPr>
          <w:sz w:val="22"/>
          <w:szCs w:val="22"/>
          <w:lang w:val="sr-Cyrl-CS"/>
        </w:rPr>
        <w:t xml:space="preserve"> Обавеза купца је да обезбеди </w:t>
      </w:r>
      <w:r w:rsidR="001B323B">
        <w:rPr>
          <w:sz w:val="22"/>
          <w:szCs w:val="22"/>
          <w:lang w:val="sr-Cyrl-CS"/>
        </w:rPr>
        <w:t>одговарајућу сагласност Комисије за заштиту конкуренције</w:t>
      </w:r>
    </w:p>
    <w:p w:rsidR="003D1540" w:rsidRPr="006634BB" w:rsidRDefault="003D1540" w:rsidP="003D1540">
      <w:pPr>
        <w:jc w:val="both"/>
        <w:rPr>
          <w:sz w:val="22"/>
          <w:szCs w:val="22"/>
          <w:lang w:val="sr-Cyrl-CS"/>
        </w:rPr>
      </w:pPr>
    </w:p>
    <w:p w:rsidR="003D1540" w:rsidRPr="006634BB" w:rsidRDefault="003D1540" w:rsidP="003D1540">
      <w:pPr>
        <w:jc w:val="both"/>
        <w:rPr>
          <w:sz w:val="22"/>
          <w:szCs w:val="22"/>
          <w:lang w:val="sr-Cyrl-CS"/>
        </w:rPr>
      </w:pPr>
      <w:r w:rsidRPr="006634BB">
        <w:rPr>
          <w:sz w:val="22"/>
          <w:szCs w:val="22"/>
          <w:lang w:val="sr-Cyrl-CS"/>
        </w:rPr>
        <w:t xml:space="preserve">Порези и трошкови реализације купопродајног уговора (трошкови овере уговора, трошкови укњижбе непокретности, трошкови поступка пред Комисијом за заштиту конкуренције у смислу чл. 132 ст. 10 Закона о стечају), </w:t>
      </w:r>
      <w:r w:rsidR="00D4084D">
        <w:rPr>
          <w:sz w:val="22"/>
          <w:szCs w:val="22"/>
          <w:lang w:val="sr-Cyrl-CS"/>
        </w:rPr>
        <w:t>у целости сноси купац</w:t>
      </w:r>
      <w:r w:rsidRPr="006634BB">
        <w:rPr>
          <w:sz w:val="22"/>
          <w:szCs w:val="22"/>
          <w:lang w:val="sr-Cyrl-CS"/>
        </w:rPr>
        <w:t>.</w:t>
      </w:r>
      <w:r w:rsidR="00D4084D">
        <w:rPr>
          <w:sz w:val="22"/>
          <w:szCs w:val="22"/>
          <w:lang w:val="sr-Cyrl-CS"/>
        </w:rPr>
        <w:t xml:space="preserve"> Стечајни дужник је у систему ПДВ-а</w:t>
      </w:r>
    </w:p>
    <w:p w:rsidR="003D1540" w:rsidRPr="006634BB" w:rsidRDefault="003D1540" w:rsidP="003D1540">
      <w:pPr>
        <w:jc w:val="both"/>
        <w:rPr>
          <w:sz w:val="22"/>
          <w:szCs w:val="22"/>
          <w:lang w:val="sr-Cyrl-CS"/>
        </w:rPr>
      </w:pPr>
    </w:p>
    <w:p w:rsidR="00266C0B" w:rsidRPr="006634BB" w:rsidRDefault="003D1540" w:rsidP="00546D3D">
      <w:pPr>
        <w:jc w:val="both"/>
      </w:pPr>
      <w:r w:rsidRPr="006634BB">
        <w:rPr>
          <w:sz w:val="22"/>
          <w:szCs w:val="22"/>
        </w:rPr>
        <w:t>O</w:t>
      </w:r>
      <w:r w:rsidRPr="006634BB">
        <w:rPr>
          <w:sz w:val="22"/>
          <w:szCs w:val="22"/>
          <w:lang w:val="sr-Cyrl-CS"/>
        </w:rPr>
        <w:t>влашћено лице:</w:t>
      </w:r>
      <w:r w:rsidRPr="006634BB">
        <w:rPr>
          <w:sz w:val="22"/>
          <w:szCs w:val="22"/>
          <w:lang w:val="ru-RU"/>
        </w:rPr>
        <w:t xml:space="preserve"> </w:t>
      </w:r>
      <w:r w:rsidR="00932DC0" w:rsidRPr="006634BB">
        <w:rPr>
          <w:sz w:val="22"/>
          <w:szCs w:val="22"/>
          <w:lang w:val="ru-RU"/>
        </w:rPr>
        <w:t>стечајни управник</w:t>
      </w:r>
      <w:r w:rsidRPr="006634BB">
        <w:rPr>
          <w:sz w:val="22"/>
          <w:szCs w:val="22"/>
          <w:lang w:val="ru-RU"/>
        </w:rPr>
        <w:t xml:space="preserve"> </w:t>
      </w:r>
      <w:r w:rsidRPr="006634BB">
        <w:rPr>
          <w:b/>
          <w:sz w:val="22"/>
          <w:szCs w:val="22"/>
          <w:lang w:val="ru-RU"/>
        </w:rPr>
        <w:t>Саша Симић,</w:t>
      </w:r>
      <w:r w:rsidRPr="006634BB">
        <w:rPr>
          <w:sz w:val="22"/>
          <w:szCs w:val="22"/>
          <w:lang w:val="sr-Cyrl-CS"/>
        </w:rPr>
        <w:t xml:space="preserve"> контакт телефон: </w:t>
      </w:r>
      <w:r w:rsidRPr="001B323B">
        <w:rPr>
          <w:b/>
          <w:sz w:val="22"/>
          <w:szCs w:val="22"/>
          <w:lang w:val="sr-Cyrl-CS"/>
        </w:rPr>
        <w:t>064/820-19-23</w:t>
      </w:r>
    </w:p>
    <w:sectPr w:rsidR="00266C0B" w:rsidRPr="006634BB" w:rsidSect="00B86D94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AC3CA7"/>
    <w:multiLevelType w:val="hybridMultilevel"/>
    <w:tmpl w:val="F976DA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40"/>
    <w:rsid w:val="001B323B"/>
    <w:rsid w:val="001F229C"/>
    <w:rsid w:val="00234209"/>
    <w:rsid w:val="00266C0B"/>
    <w:rsid w:val="003D1540"/>
    <w:rsid w:val="00446E23"/>
    <w:rsid w:val="0049650A"/>
    <w:rsid w:val="004C78F7"/>
    <w:rsid w:val="004D0AC6"/>
    <w:rsid w:val="00546D3D"/>
    <w:rsid w:val="005912C7"/>
    <w:rsid w:val="005C4550"/>
    <w:rsid w:val="006634BB"/>
    <w:rsid w:val="0068765A"/>
    <w:rsid w:val="006D0041"/>
    <w:rsid w:val="006F4D7B"/>
    <w:rsid w:val="0073248B"/>
    <w:rsid w:val="00790293"/>
    <w:rsid w:val="00795060"/>
    <w:rsid w:val="0081679D"/>
    <w:rsid w:val="00820226"/>
    <w:rsid w:val="008535FE"/>
    <w:rsid w:val="0086294B"/>
    <w:rsid w:val="00885A81"/>
    <w:rsid w:val="00932DC0"/>
    <w:rsid w:val="0097331A"/>
    <w:rsid w:val="009767CD"/>
    <w:rsid w:val="00985A1D"/>
    <w:rsid w:val="009D25A1"/>
    <w:rsid w:val="00A02AFE"/>
    <w:rsid w:val="00A96970"/>
    <w:rsid w:val="00B01A15"/>
    <w:rsid w:val="00B33AC7"/>
    <w:rsid w:val="00B36171"/>
    <w:rsid w:val="00B86D94"/>
    <w:rsid w:val="00C03F94"/>
    <w:rsid w:val="00C17581"/>
    <w:rsid w:val="00C2121E"/>
    <w:rsid w:val="00CB348D"/>
    <w:rsid w:val="00CD7571"/>
    <w:rsid w:val="00D17EDC"/>
    <w:rsid w:val="00D4084D"/>
    <w:rsid w:val="00E307BA"/>
    <w:rsid w:val="00E901FE"/>
    <w:rsid w:val="00EC1BC2"/>
    <w:rsid w:val="00F1289C"/>
    <w:rsid w:val="00F4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CAF75-7391-4F04-99D1-6D54D5AF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D1540"/>
    <w:pPr>
      <w:jc w:val="center"/>
    </w:pPr>
    <w:rPr>
      <w:rFonts w:ascii="Arial" w:hAnsi="Arial"/>
      <w:b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3D1540"/>
    <w:rPr>
      <w:rFonts w:ascii="Arial" w:eastAsia="Times New Roman" w:hAnsi="Arial" w:cs="Times New Roman"/>
      <w:b/>
      <w:sz w:val="24"/>
      <w:szCs w:val="24"/>
      <w:lang w:val="sr-Cyrl-CS"/>
    </w:rPr>
  </w:style>
  <w:style w:type="paragraph" w:styleId="BodyText">
    <w:name w:val="Body Text"/>
    <w:basedOn w:val="Normal"/>
    <w:link w:val="BodyTextChar"/>
    <w:rsid w:val="003D1540"/>
    <w:pPr>
      <w:jc w:val="both"/>
    </w:pPr>
    <w:rPr>
      <w:b/>
      <w:color w:val="0000FF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3D1540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3D1540"/>
    <w:pPr>
      <w:ind w:left="720"/>
      <w:contextualSpacing/>
    </w:pPr>
  </w:style>
  <w:style w:type="table" w:styleId="TableGrid">
    <w:name w:val="Table Grid"/>
    <w:basedOn w:val="TableNormal"/>
    <w:uiPriority w:val="59"/>
    <w:rsid w:val="005C4550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3339E-4595-47E8-B15A-104C66CF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1438</Words>
  <Characters>8199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ZAJECAR PROMET</dc:creator>
  <cp:lastModifiedBy>Milan MO. Opacic</cp:lastModifiedBy>
  <cp:revision>2</cp:revision>
  <cp:lastPrinted>2015-09-10T07:05:00Z</cp:lastPrinted>
  <dcterms:created xsi:type="dcterms:W3CDTF">2015-09-10T13:47:00Z</dcterms:created>
  <dcterms:modified xsi:type="dcterms:W3CDTF">2015-09-10T13:47:00Z</dcterms:modified>
</cp:coreProperties>
</file>